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3D14D"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kern w:val="36"/>
          <w:sz w:val="36"/>
          <w:szCs w:val="36"/>
          <w:lang w:eastAsia="zh-CN"/>
          <w14:ligatures w14:val="none"/>
        </w:rPr>
      </w:pPr>
      <w:r>
        <w:rPr>
          <w:rFonts w:hint="eastAsia" w:ascii="宋体" w:hAnsi="宋体" w:eastAsia="宋体" w:cs="宋体"/>
          <w:b/>
          <w:bCs/>
          <w:color w:val="auto"/>
          <w:kern w:val="36"/>
          <w:sz w:val="36"/>
          <w:szCs w:val="36"/>
          <w:lang w:val="en-US" w:eastAsia="zh-CN"/>
          <w14:ligatures w14:val="none"/>
        </w:rPr>
        <w:t xml:space="preserve"> </w:t>
      </w:r>
      <w:r>
        <w:rPr>
          <w:rFonts w:ascii="宋体" w:hAnsi="宋体" w:eastAsia="宋体" w:cs="宋体"/>
          <w:b/>
          <w:bCs/>
          <w:color w:val="auto"/>
          <w:kern w:val="36"/>
          <w:sz w:val="36"/>
          <w:szCs w:val="36"/>
          <w14:ligatures w14:val="none"/>
        </w:rPr>
        <w:t>福建船政交通职业学院</w:t>
      </w:r>
      <w:r>
        <w:rPr>
          <w:rFonts w:hint="eastAsia" w:ascii="宋体" w:hAnsi="宋体" w:eastAsia="宋体" w:cs="宋体"/>
          <w:b/>
          <w:bCs/>
          <w:color w:val="auto"/>
          <w:kern w:val="36"/>
          <w:sz w:val="36"/>
          <w:szCs w:val="36"/>
          <w14:ligatures w14:val="none"/>
        </w:rPr>
        <w:t>往来款项</w:t>
      </w:r>
    </w:p>
    <w:p w14:paraId="3728D498">
      <w:pPr>
        <w:spacing w:line="360" w:lineRule="auto"/>
        <w:jc w:val="center"/>
        <w:rPr>
          <w:rFonts w:hint="eastAsia" w:ascii="仿宋_GB2312" w:hAnsi="宋体" w:eastAsia="仿宋_GB2312"/>
          <w:b/>
          <w:bCs/>
          <w:color w:val="auto"/>
          <w:sz w:val="36"/>
          <w:szCs w:val="36"/>
          <w:u w:val="singl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36"/>
          <w:sz w:val="36"/>
          <w:szCs w:val="36"/>
          <w:lang w:eastAsia="zh-CN"/>
          <w14:ligatures w14:val="none"/>
        </w:rPr>
        <w:t>梳理鉴证审计</w:t>
      </w:r>
      <w:r>
        <w:rPr>
          <w:rFonts w:ascii="宋体" w:hAnsi="宋体" w:eastAsia="宋体" w:cs="宋体"/>
          <w:b/>
          <w:bCs/>
          <w:color w:val="auto"/>
          <w:kern w:val="36"/>
          <w:sz w:val="36"/>
          <w:szCs w:val="36"/>
          <w14:ligatures w14:val="none"/>
        </w:rPr>
        <w:t>服务询价公告</w:t>
      </w:r>
    </w:p>
    <w:p w14:paraId="44E77ECC">
      <w:pPr>
        <w:widowControl/>
        <w:spacing w:after="0" w:line="360" w:lineRule="atLeast"/>
        <w:ind w:firstLine="480"/>
        <w:jc w:val="center"/>
        <w:rPr>
          <w:rFonts w:hint="eastAsia" w:ascii="songti" w:hAnsi="songti" w:eastAsia="宋体" w:cs="宋体"/>
          <w:kern w:val="0"/>
          <w:sz w:val="24"/>
          <w14:ligatures w14:val="none"/>
        </w:rPr>
      </w:pPr>
    </w:p>
    <w:p w14:paraId="7FF820C9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1.服务一览表</w:t>
      </w:r>
    </w:p>
    <w:tbl>
      <w:tblPr>
        <w:tblStyle w:val="4"/>
        <w:tblW w:w="859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"/>
        <w:gridCol w:w="1170"/>
        <w:gridCol w:w="2614"/>
        <w:gridCol w:w="2235"/>
        <w:gridCol w:w="1529"/>
      </w:tblGrid>
      <w:tr w14:paraId="498807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0EC690">
            <w:pPr>
              <w:widowControl/>
              <w:spacing w:after="0" w:line="405" w:lineRule="atLeast"/>
              <w:ind w:firstLine="480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合同包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E472C7">
            <w:pPr>
              <w:widowControl/>
              <w:spacing w:after="0" w:line="405" w:lineRule="atLeast"/>
              <w:ind w:firstLine="480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品目号</w:t>
            </w:r>
          </w:p>
        </w:tc>
        <w:tc>
          <w:tcPr>
            <w:tcW w:w="26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142EDB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服务名称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567D6B">
            <w:pPr>
              <w:widowControl/>
              <w:spacing w:after="0" w:line="405" w:lineRule="atLeast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服务期限</w:t>
            </w:r>
          </w:p>
        </w:tc>
        <w:tc>
          <w:tcPr>
            <w:tcW w:w="15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16675B">
            <w:pPr>
              <w:widowControl/>
              <w:spacing w:after="0" w:line="405" w:lineRule="atLeast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预算金额（元）</w:t>
            </w:r>
          </w:p>
        </w:tc>
      </w:tr>
      <w:tr w14:paraId="11910D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4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83FE82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1</w:t>
            </w:r>
          </w:p>
        </w:tc>
        <w:tc>
          <w:tcPr>
            <w:tcW w:w="11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C760D9">
            <w:pPr>
              <w:widowControl/>
              <w:spacing w:after="0" w:line="360" w:lineRule="atLeast"/>
              <w:ind w:firstLine="480"/>
              <w:jc w:val="center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1-1</w:t>
            </w:r>
          </w:p>
        </w:tc>
        <w:tc>
          <w:tcPr>
            <w:tcW w:w="261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DB3157">
            <w:pPr>
              <w:widowControl/>
              <w:spacing w:after="0" w:line="405" w:lineRule="atLeast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  <w:lang w:eastAsia="zh-CN"/>
              </w:rPr>
              <w:t>往来款项梳理鉴证审计服务</w:t>
            </w:r>
          </w:p>
        </w:tc>
        <w:tc>
          <w:tcPr>
            <w:tcW w:w="22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008C2E">
            <w:pPr>
              <w:widowControl/>
              <w:spacing w:after="0" w:line="405" w:lineRule="atLeast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  <w:t>项目中标后至2025年</w:t>
            </w: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底</w:t>
            </w:r>
          </w:p>
        </w:tc>
        <w:tc>
          <w:tcPr>
            <w:tcW w:w="15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0E95AD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:lang w:val="en-US" w:eastAsia="zh-CN"/>
                <w14:ligatures w14:val="none"/>
              </w:rPr>
              <w:t>232</w:t>
            </w: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00</w:t>
            </w:r>
          </w:p>
        </w:tc>
      </w:tr>
    </w:tbl>
    <w:p w14:paraId="04B81BC4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2. 服务内容及相关要求</w:t>
      </w:r>
    </w:p>
    <w:p w14:paraId="260DEB0C"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供应商提供包括但不仅限于以下服务内容：</w:t>
      </w:r>
    </w:p>
    <w:p w14:paraId="780CA893">
      <w:pPr>
        <w:spacing w:line="360" w:lineRule="auto"/>
        <w:jc w:val="left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　　①逐项梳理学校财务账面往来款项账务，提出梳理鉴证审计意见。财务账面往来款项共196笔，金额459.06万元，其中：账龄20年以上1笔金额2.21万元、账龄11-15年35笔金额43.66万元、账龄6-10年83笔金额214.19万元、账龄1-5年77笔金额199万元。内容涉及单位及个人的各项往来款项；②按照上级和学校的要求，以及往来款项专项清理的有关规定，对</w:t>
      </w:r>
      <w:bookmarkStart w:id="0" w:name="_Hlk190843068"/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往来款项</w:t>
      </w:r>
      <w:bookmarkEnd w:id="0"/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进行清理，出具经济鉴证（专项）审计报告一式四份；③帮助解决学校往来款项账面余额清理核销过程中存在的问题；④往来款项清理批准后，指导财务账面核销的账务处理工作；⑤项目服务期内学校财务往来款项梳理核销相关事项的咨询指导等。</w:t>
      </w:r>
    </w:p>
    <w:p w14:paraId="1CC69C56">
      <w:pPr>
        <w:numPr>
          <w:ilvl w:val="0"/>
          <w:numId w:val="0"/>
        </w:numPr>
        <w:spacing w:line="360" w:lineRule="auto"/>
        <w:jc w:val="left"/>
        <w:rPr>
          <w:rFonts w:hint="eastAsia" w:ascii="仿宋_GB2312" w:hAnsi="宋体" w:eastAsia="仿宋_GB2312"/>
          <w:b/>
          <w:bCs w:val="0"/>
          <w:sz w:val="32"/>
          <w:szCs w:val="32"/>
        </w:rPr>
      </w:pPr>
      <w:r>
        <w:rPr>
          <w:rFonts w:hint="eastAsia" w:ascii="仿宋_GB2312" w:hAnsi="宋体" w:eastAsia="仿宋_GB2312"/>
          <w:b/>
          <w:bCs w:val="0"/>
          <w:sz w:val="32"/>
          <w:szCs w:val="32"/>
          <w:lang w:val="en-US" w:eastAsia="zh-CN"/>
        </w:rPr>
        <w:t>　3.</w:t>
      </w:r>
      <w:r>
        <w:rPr>
          <w:rFonts w:hint="eastAsia" w:ascii="仿宋_GB2312" w:hAnsi="宋体" w:eastAsia="仿宋_GB2312"/>
          <w:b/>
          <w:bCs w:val="0"/>
          <w:sz w:val="32"/>
          <w:szCs w:val="32"/>
        </w:rPr>
        <w:t>服务资格要求</w:t>
      </w:r>
    </w:p>
    <w:p w14:paraId="5F31D51F">
      <w:pPr>
        <w:pStyle w:val="3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right="0" w:firstLine="320" w:firstLineChars="100"/>
        <w:rPr>
          <w:rFonts w:hint="eastAsia" w:ascii="仿宋_GB2312" w:hAnsi="宋体" w:eastAsia="仿宋_GB2312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bCs/>
          <w:kern w:val="2"/>
          <w:sz w:val="32"/>
          <w:szCs w:val="32"/>
          <w:lang w:val="en-US" w:eastAsia="zh-CN" w:bidi="ar-SA"/>
        </w:rPr>
        <w:t>供应商应当遵守中国的有关法律、法规和规章的规定。列入失信被执行人、重大税收违法案件当事人名单、政府采购严重违法失信行为记录名单及其他不符合《中华人民共和国政府采购法》第二十二条规定条件的供应商，不得参加采购活动。</w:t>
      </w:r>
    </w:p>
    <w:p w14:paraId="5B53CFC6">
      <w:pPr>
        <w:pStyle w:val="3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right="0"/>
        <w:rPr>
          <w:rFonts w:hint="eastAsia" w:ascii="仿宋_GB2312" w:hAnsi="宋体" w:eastAsia="仿宋_GB2312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b/>
          <w:bCs w:val="0"/>
          <w:kern w:val="2"/>
          <w:sz w:val="32"/>
          <w:szCs w:val="32"/>
          <w:lang w:val="en-US" w:eastAsia="zh-CN" w:bidi="ar-SA"/>
        </w:rPr>
        <w:t>4.其他要求</w:t>
      </w:r>
    </w:p>
    <w:p w14:paraId="09D1D3CA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①</w:t>
      </w:r>
      <w:r>
        <w:rPr>
          <w:rFonts w:hint="eastAsia" w:ascii="仿宋_GB2312" w:hAnsi="宋体" w:eastAsia="仿宋_GB2312" w:cs="Times New Roman"/>
          <w:bCs/>
          <w:kern w:val="2"/>
          <w:sz w:val="32"/>
          <w:szCs w:val="32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应在全面准确理解和掌握相关法规和政策的情况下，做好服务前调查，以确定现场服务的性质、时间和内容。同时根据调查情况，编制实施方案，方案应包括服务重点内容、实施步骤、人员分工、工作时间安排等。</w:t>
      </w:r>
    </w:p>
    <w:p w14:paraId="0EE7572D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②</w:t>
      </w:r>
      <w:r>
        <w:rPr>
          <w:rFonts w:hint="eastAsia" w:ascii="仿宋_GB2312" w:hAnsi="宋体" w:eastAsia="仿宋_GB2312" w:cs="Times New Roman"/>
          <w:bCs/>
          <w:kern w:val="2"/>
          <w:sz w:val="32"/>
          <w:szCs w:val="32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在实施过程中应根据工作进展情况，适时向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学校</w:t>
      </w:r>
      <w:r>
        <w:rPr>
          <w:rFonts w:hint="eastAsia" w:ascii="仿宋" w:hAnsi="仿宋" w:eastAsia="仿宋" w:cs="仿宋"/>
          <w:bCs/>
          <w:sz w:val="30"/>
          <w:szCs w:val="30"/>
        </w:rPr>
        <w:t>汇报工作实施情况，研究讨论服务中发现的问题。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学校</w:t>
      </w:r>
      <w:r>
        <w:rPr>
          <w:rFonts w:hint="eastAsia" w:ascii="仿宋" w:hAnsi="仿宋" w:eastAsia="仿宋" w:cs="仿宋"/>
          <w:bCs/>
          <w:sz w:val="30"/>
          <w:szCs w:val="30"/>
        </w:rPr>
        <w:t>相关部门要积极配合受托服务方工作，并提供梳理、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审计</w:t>
      </w:r>
      <w:r>
        <w:rPr>
          <w:rFonts w:hint="eastAsia" w:ascii="仿宋" w:hAnsi="仿宋" w:eastAsia="仿宋" w:cs="仿宋"/>
          <w:bCs/>
          <w:sz w:val="30"/>
          <w:szCs w:val="30"/>
        </w:rPr>
        <w:t>所需的材料，配合解决工作过程中发现的问题。</w:t>
      </w:r>
    </w:p>
    <w:p w14:paraId="3E8117E7"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③</w:t>
      </w:r>
      <w:r>
        <w:rPr>
          <w:rFonts w:hint="eastAsia" w:ascii="仿宋_GB2312" w:hAnsi="宋体" w:eastAsia="仿宋_GB2312" w:cs="Times New Roman"/>
          <w:bCs/>
          <w:kern w:val="2"/>
          <w:sz w:val="32"/>
          <w:szCs w:val="32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的工作人员应依法依规服务、廉洁从业，遵守服务过程的财经纪律、资料保密和有关廉政规定。</w:t>
      </w:r>
    </w:p>
    <w:p w14:paraId="01D2A1F4">
      <w:pPr>
        <w:numPr>
          <w:ilvl w:val="0"/>
          <w:numId w:val="0"/>
        </w:numPr>
        <w:spacing w:line="360" w:lineRule="auto"/>
        <w:ind w:firstLine="301" w:firstLineChars="100"/>
        <w:jc w:val="left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"/>
          <w:b/>
          <w:sz w:val="30"/>
          <w:szCs w:val="30"/>
        </w:rPr>
        <w:t>违约责任要求</w:t>
      </w:r>
    </w:p>
    <w:p w14:paraId="397CC718">
      <w:pPr>
        <w:spacing w:line="360" w:lineRule="auto"/>
        <w:jc w:val="lef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①中标人须严格按照采购人要求的期限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等</w:t>
      </w:r>
      <w:r>
        <w:rPr>
          <w:rFonts w:hint="eastAsia" w:ascii="仿宋" w:hAnsi="仿宋" w:eastAsia="仿宋" w:cs="仿宋"/>
          <w:bCs/>
          <w:sz w:val="30"/>
          <w:szCs w:val="30"/>
        </w:rPr>
        <w:t>履行合同义务，从约定服务完成截止之次日起算，成交方每逾期1日，须承担中标价的1%的违约金责任。</w:t>
      </w:r>
    </w:p>
    <w:p w14:paraId="6B811DFF">
      <w:pPr>
        <w:spacing w:line="360" w:lineRule="auto"/>
        <w:jc w:val="lef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②若成交方提供的服务及报告不符合合同及采购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人</w:t>
      </w:r>
      <w:r>
        <w:rPr>
          <w:rFonts w:hint="eastAsia" w:ascii="仿宋" w:hAnsi="仿宋" w:eastAsia="仿宋" w:cs="仿宋"/>
          <w:bCs/>
          <w:sz w:val="30"/>
          <w:szCs w:val="30"/>
        </w:rPr>
        <w:t>要求的质量、服务标准或履约过程中有违约行为的，成交方应承担继续履行、采取补救措施或赔偿损失等违约责任。</w:t>
      </w:r>
    </w:p>
    <w:p w14:paraId="5B12FDB7">
      <w:pPr>
        <w:spacing w:line="360" w:lineRule="auto"/>
        <w:jc w:val="lef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③在明确违约责任后，成交方应在接到违约通知起7天内支付违约金、赔偿金等。</w:t>
      </w:r>
    </w:p>
    <w:p w14:paraId="1B3A4EA7">
      <w:pPr>
        <w:widowControl/>
        <w:spacing w:after="0" w:line="360" w:lineRule="atLeast"/>
        <w:ind w:firstLine="480"/>
        <w:jc w:val="both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6.采购办法</w:t>
      </w:r>
    </w:p>
    <w:p w14:paraId="26E82D4B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最低评标价法。</w:t>
      </w:r>
    </w:p>
    <w:p w14:paraId="341E5ACE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7.</w:t>
      </w:r>
      <w:r>
        <w:rPr>
          <w:rFonts w:ascii="Calibri" w:hAnsi="Calibri" w:eastAsia="仿宋_GB2312" w:cs="Calibri"/>
          <w:kern w:val="0"/>
          <w:sz w:val="32"/>
          <w:szCs w:val="32"/>
          <w14:ligatures w14:val="none"/>
        </w:rPr>
        <w:t> </w:t>
      </w: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询价回函</w:t>
      </w:r>
    </w:p>
    <w:p w14:paraId="0B8E7265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ascii="Calibri" w:hAnsi="Calibri" w:eastAsia="仿宋_GB2312" w:cs="Calibri"/>
          <w:b/>
          <w:bCs/>
          <w:kern w:val="0"/>
          <w:sz w:val="32"/>
          <w:szCs w:val="32"/>
          <w14:ligatures w14:val="none"/>
        </w:rPr>
        <w:t>    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请下载附件报价并加盖公司公章回函，以彩色扫描件发至以下邮件地址，</w:t>
      </w:r>
    </w:p>
    <w:p w14:paraId="72C75332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邮箱地址：</w:t>
      </w:r>
      <w:r>
        <w:fldChar w:fldCharType="begin"/>
      </w:r>
      <w:r>
        <w:instrText xml:space="preserve"> HYPERLINK "mailto:2020013@fjcpc.edu.cn" </w:instrText>
      </w:r>
      <w:r>
        <w:fldChar w:fldCharType="separate"/>
      </w:r>
      <w:r>
        <w:rPr>
          <w:rFonts w:hint="eastAsia" w:ascii="仿宋_GB2312" w:hAnsi="仿宋_GB2312" w:eastAsia="仿宋_GB2312" w:cs="宋体"/>
          <w:color w:val="0000FF"/>
          <w:kern w:val="0"/>
          <w:sz w:val="32"/>
          <w:szCs w:val="32"/>
          <w:u w:val="single"/>
          <w:lang w:val="en-US" w:eastAsia="zh-CN"/>
          <w14:ligatures w14:val="none"/>
        </w:rPr>
        <w:t>l2019007</w:t>
      </w:r>
      <w:r>
        <w:rPr>
          <w:rFonts w:hint="eastAsia" w:ascii="仿宋_GB2312" w:hAnsi="仿宋_GB2312" w:eastAsia="仿宋_GB2312" w:cs="宋体"/>
          <w:color w:val="0000FF"/>
          <w:kern w:val="0"/>
          <w:sz w:val="32"/>
          <w:szCs w:val="32"/>
          <w:u w:val="single"/>
          <w14:ligatures w14:val="none"/>
        </w:rPr>
        <w:t>@fjcpc.edu.cn</w:t>
      </w:r>
      <w:r>
        <w:rPr>
          <w:rFonts w:hint="eastAsia" w:ascii="仿宋_GB2312" w:hAnsi="仿宋_GB2312" w:eastAsia="仿宋_GB2312" w:cs="宋体"/>
          <w:color w:val="0000FF"/>
          <w:kern w:val="0"/>
          <w:sz w:val="32"/>
          <w:szCs w:val="32"/>
          <w:u w:val="single"/>
          <w14:ligatures w14:val="none"/>
        </w:rPr>
        <w:fldChar w:fldCharType="end"/>
      </w:r>
    </w:p>
    <w:p w14:paraId="63CFA271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截止时间：202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5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-0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2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-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28</w:t>
      </w:r>
      <w:r>
        <w:rPr>
          <w:rFonts w:ascii="Calibri" w:hAnsi="Calibri" w:eastAsia="仿宋_GB2312" w:cs="Calibri"/>
          <w:kern w:val="0"/>
          <w:sz w:val="32"/>
          <w:szCs w:val="32"/>
          <w14:ligatures w14:val="none"/>
        </w:rPr>
        <w:t> 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1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6</w:t>
      </w:r>
      <w:bookmarkStart w:id="1" w:name="_GoBack"/>
      <w:bookmarkEnd w:id="1"/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:00:00（北京时间）</w:t>
      </w:r>
    </w:p>
    <w:p w14:paraId="2F97BDDE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8、联系方式。</w:t>
      </w:r>
    </w:p>
    <w:p w14:paraId="6B5BA7F1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联系方式：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eastAsia="zh-CN"/>
          <w14:ligatures w14:val="none"/>
        </w:rPr>
        <w:t>董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老师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18650760591</w:t>
      </w:r>
    </w:p>
    <w:p w14:paraId="01490D1B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</w:pPr>
    </w:p>
    <w:p w14:paraId="6C92FF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2" w:beforeAutospacing="0" w:after="300" w:afterAutospacing="0" w:line="750" w:lineRule="atLeast"/>
        <w:ind w:left="0" w:right="0"/>
        <w:jc w:val="left"/>
        <w:textAlignment w:val="baseline"/>
        <w:outlineLvl w:val="9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</w:pPr>
    </w:p>
    <w:p w14:paraId="7268EA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2" w:beforeAutospacing="0" w:after="300" w:afterAutospacing="0" w:line="750" w:lineRule="atLeast"/>
        <w:ind w:left="0" w:right="0"/>
        <w:jc w:val="left"/>
        <w:textAlignment w:val="baseline"/>
        <w:outlineLvl w:val="9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</w:pPr>
    </w:p>
    <w:p w14:paraId="6A8D51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2" w:beforeAutospacing="0" w:after="300" w:afterAutospacing="0" w:line="750" w:lineRule="atLeast"/>
        <w:ind w:left="0" w:right="0"/>
        <w:jc w:val="left"/>
        <w:textAlignment w:val="baseline"/>
        <w:outlineLvl w:val="9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</w:pPr>
    </w:p>
    <w:p w14:paraId="4DA0DE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2" w:beforeAutospacing="0" w:after="300" w:afterAutospacing="0" w:line="750" w:lineRule="atLeast"/>
        <w:ind w:left="0" w:right="0"/>
        <w:jc w:val="left"/>
        <w:textAlignment w:val="baseline"/>
        <w:outlineLvl w:val="9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</w:pPr>
    </w:p>
    <w:p w14:paraId="444207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2" w:beforeAutospacing="0" w:after="300" w:afterAutospacing="0" w:line="750" w:lineRule="atLeast"/>
        <w:ind w:left="0" w:right="0"/>
        <w:jc w:val="left"/>
        <w:textAlignment w:val="baseline"/>
        <w:outlineLvl w:val="9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</w:pP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  <w:t>附件：</w:t>
      </w:r>
    </w:p>
    <w:p w14:paraId="61E40B3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883" w:firstLineChars="200"/>
        <w:jc w:val="both"/>
        <w:textAlignment w:val="baseline"/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</w:pPr>
      <w:r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  <w:t>　福建船政交通职业学院财务处</w:t>
      </w:r>
    </w:p>
    <w:p w14:paraId="35DCEAF6">
      <w:pPr>
        <w:spacing w:line="360" w:lineRule="auto"/>
        <w:ind w:firstLine="442" w:firstLineChars="100"/>
        <w:jc w:val="both"/>
        <w:rPr>
          <w:rFonts w:hint="default" w:ascii="Microsoft Sans Serif" w:hAnsi="Microsoft Sans Serif" w:eastAsia="仿宋_GB2312" w:cs="Microsoft Sans Serif"/>
          <w:b/>
          <w:bCs/>
          <w:kern w:val="36"/>
          <w:sz w:val="44"/>
          <w:szCs w:val="48"/>
          <w:lang w:val="en-US" w:eastAsia="zh-CN" w:bidi="ar-SA"/>
          <w14:ligatures w14:val="none"/>
        </w:rPr>
      </w:pPr>
      <w:r>
        <w:rPr>
          <w:rFonts w:hint="eastAsia" w:ascii="Microsoft Sans Serif" w:hAnsi="Microsoft Sans Serif" w:eastAsia="仿宋_GB2312" w:cs="Microsoft Sans Serif"/>
          <w:b/>
          <w:bCs/>
          <w:kern w:val="36"/>
          <w:sz w:val="44"/>
          <w:szCs w:val="48"/>
          <w:lang w:val="en-US" w:eastAsia="zh-CN" w:bidi="ar-SA"/>
          <w14:ligatures w14:val="none"/>
        </w:rPr>
        <w:t>　往来款项梳理鉴证审计服务</w:t>
      </w:r>
      <w:r>
        <w:rPr>
          <w:rFonts w:hint="default" w:ascii="Microsoft Sans Serif" w:hAnsi="Microsoft Sans Serif" w:eastAsia="仿宋_GB2312" w:cs="Microsoft Sans Serif"/>
          <w:b/>
          <w:bCs/>
          <w:kern w:val="36"/>
          <w:sz w:val="44"/>
          <w:szCs w:val="48"/>
          <w:lang w:val="en-US" w:eastAsia="zh-CN" w:bidi="ar-SA"/>
          <w14:ligatures w14:val="none"/>
        </w:rPr>
        <w:t>报价函</w:t>
      </w:r>
    </w:p>
    <w:p w14:paraId="7A3C31A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ABA0CF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D6E606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  <w:szCs w:val="24"/>
        </w:rPr>
        <w:t>                </w:t>
      </w: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24"/>
        </w:rPr>
        <w:t>单位：元</w:t>
      </w:r>
    </w:p>
    <w:tbl>
      <w:tblPr>
        <w:tblStyle w:val="4"/>
        <w:tblW w:w="85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6"/>
        <w:gridCol w:w="2491"/>
      </w:tblGrid>
      <w:tr w14:paraId="71944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609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32618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报价</w:t>
            </w:r>
          </w:p>
        </w:tc>
        <w:tc>
          <w:tcPr>
            <w:tcW w:w="2491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4761E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备注</w:t>
            </w:r>
          </w:p>
        </w:tc>
      </w:tr>
      <w:tr w14:paraId="2AEE3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609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76E1D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</w:rPr>
            </w:pPr>
          </w:p>
          <w:p w14:paraId="2109B14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大写：人民币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</w:rPr>
              <w:t>  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32"/>
                <w:szCs w:val="24"/>
              </w:rPr>
              <w:t>元</w:t>
            </w:r>
          </w:p>
          <w:p w14:paraId="757263A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小写：￥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</w:rPr>
              <w:t>   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</w:rPr>
              <w:t>  </w:t>
            </w:r>
            <w:r>
              <w:rPr>
                <w:rFonts w:hint="eastAsia" w:ascii="仿宋" w:hAnsi="仿宋" w:eastAsia="仿宋" w:cs="仿宋"/>
                <w:sz w:val="32"/>
                <w:szCs w:val="24"/>
              </w:rPr>
              <w:t>元</w:t>
            </w:r>
          </w:p>
          <w:p w14:paraId="0338EC9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</w:rPr>
            </w:pPr>
          </w:p>
          <w:p w14:paraId="7EB93C7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</w:rPr>
            </w:pPr>
          </w:p>
        </w:tc>
        <w:tc>
          <w:tcPr>
            <w:tcW w:w="2491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4B7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</w:p>
        </w:tc>
      </w:tr>
    </w:tbl>
    <w:p w14:paraId="6C7CEF9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 w14:paraId="14F5A3D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 w14:paraId="3DE8468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32"/>
          <w:szCs w:val="24"/>
        </w:rPr>
        <w:t>名称：（全称加盖单位公章）</w:t>
      </w:r>
    </w:p>
    <w:p w14:paraId="471EA82A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  <w:lang w:eastAsia="zh-CN"/>
        </w:rPr>
        <w:t>　　　　　　　　　　　　</w:t>
      </w:r>
      <w:r>
        <w:rPr>
          <w:rFonts w:hint="eastAsia" w:ascii="仿宋" w:hAnsi="仿宋" w:eastAsia="仿宋" w:cs="仿宋"/>
          <w:sz w:val="32"/>
        </w:rPr>
        <w:t>联系人：</w:t>
      </w:r>
    </w:p>
    <w:p w14:paraId="0967CDF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2"/>
          <w:lang w:eastAsia="zh-CN"/>
        </w:rPr>
        <w:t>　　　　　　　　　　　　</w:t>
      </w:r>
      <w:r>
        <w:rPr>
          <w:rFonts w:hint="eastAsia" w:ascii="仿宋" w:hAnsi="仿宋" w:eastAsia="仿宋" w:cs="仿宋"/>
          <w:sz w:val="32"/>
        </w:rPr>
        <w:t>手　机：</w:t>
      </w:r>
    </w:p>
    <w:p w14:paraId="225385C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>　　　　　　　　　　　　时　间：</w:t>
      </w:r>
    </w:p>
    <w:p w14:paraId="5DB7D068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　　　　　　　　</w:t>
      </w:r>
    </w:p>
    <w:p w14:paraId="7C53727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160" w:firstLineChars="13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2"/>
        </w:rPr>
        <w:t>　　　　　　　　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songt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lMzhlODljZjIyZjM2MmM2YjEwZTdhOTQwYmQxZDIifQ=="/>
  </w:docVars>
  <w:rsids>
    <w:rsidRoot w:val="00067E0D"/>
    <w:rsid w:val="00067E0D"/>
    <w:rsid w:val="00BB0329"/>
    <w:rsid w:val="027619AC"/>
    <w:rsid w:val="0D4E1EA3"/>
    <w:rsid w:val="0E58286B"/>
    <w:rsid w:val="10A047C3"/>
    <w:rsid w:val="20EB4501"/>
    <w:rsid w:val="2DED1942"/>
    <w:rsid w:val="3BFC64A2"/>
    <w:rsid w:val="413A1828"/>
    <w:rsid w:val="454B2248"/>
    <w:rsid w:val="4F9525AF"/>
    <w:rsid w:val="5100021C"/>
    <w:rsid w:val="53281E1B"/>
    <w:rsid w:val="55A12DD8"/>
    <w:rsid w:val="563805C7"/>
    <w:rsid w:val="6B3709F5"/>
    <w:rsid w:val="6D747CDF"/>
    <w:rsid w:val="6F8D6E36"/>
    <w:rsid w:val="72DC25AE"/>
    <w:rsid w:val="73AD3F4B"/>
    <w:rsid w:val="73D96AEE"/>
    <w:rsid w:val="7A36382A"/>
    <w:rsid w:val="7C213B91"/>
    <w:rsid w:val="7DF52776"/>
    <w:rsid w:val="7F0F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 w:line="240" w:lineRule="auto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paragraph" w:customStyle="1" w:styleId="9">
    <w:name w:val="arti_metas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customStyle="1" w:styleId="10">
    <w:name w:val="arti_update"/>
    <w:basedOn w:val="5"/>
    <w:qFormat/>
    <w:uiPriority w:val="0"/>
  </w:style>
  <w:style w:type="character" w:customStyle="1" w:styleId="11">
    <w:name w:val="arti_views"/>
    <w:basedOn w:val="5"/>
    <w:qFormat/>
    <w:uiPriority w:val="0"/>
  </w:style>
  <w:style w:type="character" w:customStyle="1" w:styleId="12">
    <w:name w:val="wp_visitcount"/>
    <w:basedOn w:val="5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1121</Words>
  <Characters>1243</Characters>
  <Lines>9</Lines>
  <Paragraphs>2</Paragraphs>
  <TotalTime>5</TotalTime>
  <ScaleCrop>false</ScaleCrop>
  <LinksUpToDate>false</LinksUpToDate>
  <CharactersWithSpaces>1330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2024-03-21T13:32:00Z</dcterms:created>
  <dc:creator>zhiyan li</dc:creator>
  <cp:lastModifiedBy>董博</cp:lastModifiedBy>
  <cp:lastPrinted>2024-06-27T09:38:00Z</cp:lastPrinted>
  <dcterms:modified xsi:type="dcterms:W3CDTF">2025-02-24T08:09:40Z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62F88017AC0547D2B4B7C88A3B917D96_12</vt:lpwstr>
  </property>
</Properties>
</file>