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50" w:lineRule="atLeast"/>
        <w:ind w:left="0" w:right="0"/>
        <w:jc w:val="center"/>
        <w:textAlignment w:val="baseline"/>
        <w:rPr>
          <w:rStyle w:val="6"/>
          <w:rFonts w:hint="default" w:ascii="Microsoft Sans Serif" w:hAnsi="Microsoft Sans Serif" w:eastAsia="宋体" w:cs="Microsoft Sans Serif"/>
          <w:b w:val="0"/>
          <w:bCs w:val="0"/>
          <w:i w:val="0"/>
          <w:iCs w:val="0"/>
          <w:caps w:val="0"/>
          <w:color w:val="5B5852"/>
          <w:spacing w:val="0"/>
          <w:sz w:val="44"/>
          <w:szCs w:val="24"/>
          <w:shd w:val="clear" w:fill="FFFFFF"/>
          <w:vertAlign w:val="baseline"/>
          <w:lang w:val="en-US" w:eastAsia="zh-CN"/>
        </w:rPr>
      </w:pPr>
      <w:bookmarkStart w:id="0" w:name="_GoBack"/>
      <w:bookmarkEnd w:id="0"/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2023年度</w:t>
      </w: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福建船政交通职业</w:t>
      </w:r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学院国产设备增值税退税代理服务报价函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szCs w:val="24"/>
        </w:rPr>
        <w:t>                </w:t>
      </w: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24"/>
        </w:rPr>
        <w:t>货币单位：元人民币</w:t>
      </w:r>
    </w:p>
    <w:tbl>
      <w:tblPr>
        <w:tblStyle w:val="4"/>
        <w:tblW w:w="8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报价</w:t>
            </w:r>
          </w:p>
        </w:tc>
        <w:tc>
          <w:tcPr>
            <w:tcW w:w="2355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3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大写：人民币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小写：￥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 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</w:tc>
        <w:tc>
          <w:tcPr>
            <w:tcW w:w="2355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32"/>
          <w:szCs w:val="24"/>
        </w:rPr>
        <w:t>名称：（全称加盖单位公章）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时间：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YTlmZjIzMDY5MjU5MjlmYjYzMDc2MjczZWQ5NmUifQ=="/>
  </w:docVars>
  <w:rsids>
    <w:rsidRoot w:val="0F0C72D0"/>
    <w:rsid w:val="0F0C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2024-03-14T08:20:00Z</dcterms:created>
  <dc:creator>Cerrrrrri</dc:creator>
  <cp:lastModifiedBy>Cerrrrrri</cp:lastModifiedBy>
  <dcterms:modified xsi:type="dcterms:W3CDTF">2024-03-14T08:21:08Z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65A8BCABA7BD4587A92237E0344EF82F_11</vt:lpwstr>
  </property>
</Properties>
</file>