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4226F2">
      <w:pPr>
        <w:pStyle w:val="4"/>
        <w:rPr>
          <w:rFonts w:hint="eastAsia"/>
          <w:highlight w:val="none"/>
          <w:lang w:val="en-US" w:eastAsia="zh-Hans"/>
        </w:rPr>
      </w:pPr>
      <w:r>
        <w:rPr>
          <w:highlight w:val="none"/>
        </w:rPr>
        <w:br w:type="textWrapping"/>
      </w:r>
    </w:p>
    <w:p w14:paraId="08E158AA">
      <w:pPr>
        <w:pStyle w:val="4"/>
        <w:ind w:firstLine="2409" w:firstLineChars="500"/>
        <w:outlineLvl w:val="0"/>
        <w:rPr>
          <w:highlight w:val="none"/>
        </w:rPr>
      </w:pPr>
      <w:r>
        <w:rPr>
          <w:rFonts w:ascii="仿宋_GB2312" w:hAnsi="仿宋_GB2312" w:eastAsia="仿宋_GB2312" w:cs="仿宋_GB2312"/>
          <w:b/>
          <w:sz w:val="48"/>
          <w:highlight w:val="none"/>
        </w:rPr>
        <w:t>福建省政府采购</w:t>
      </w:r>
    </w:p>
    <w:p w14:paraId="77A9A33B">
      <w:pPr>
        <w:pStyle w:val="4"/>
        <w:jc w:val="center"/>
        <w:outlineLvl w:val="0"/>
        <w:rPr>
          <w:highlight w:val="none"/>
        </w:rPr>
      </w:pPr>
      <w:r>
        <w:rPr>
          <w:rFonts w:ascii="仿宋_GB2312" w:hAnsi="仿宋_GB2312" w:eastAsia="仿宋_GB2312" w:cs="仿宋_GB2312"/>
          <w:b/>
          <w:sz w:val="48"/>
          <w:highlight w:val="none"/>
        </w:rPr>
        <w:t>货物和服务项目</w:t>
      </w:r>
    </w:p>
    <w:p w14:paraId="797B8208">
      <w:pPr>
        <w:pStyle w:val="4"/>
        <w:jc w:val="center"/>
        <w:outlineLvl w:val="0"/>
        <w:rPr>
          <w:highlight w:val="none"/>
        </w:rPr>
      </w:pPr>
      <w:r>
        <w:rPr>
          <w:rFonts w:ascii="仿宋_GB2312" w:hAnsi="仿宋_GB2312" w:eastAsia="仿宋_GB2312" w:cs="仿宋_GB2312"/>
          <w:b/>
          <w:sz w:val="48"/>
          <w:highlight w:val="none"/>
        </w:rPr>
        <w:t>公开招标文件</w:t>
      </w:r>
    </w:p>
    <w:p w14:paraId="7A2831D5">
      <w:pPr>
        <w:pStyle w:val="4"/>
        <w:jc w:val="center"/>
        <w:outlineLvl w:val="2"/>
        <w:rPr>
          <w:rFonts w:hint="eastAsia" w:ascii="仿宋_GB2312" w:hAnsi="仿宋_GB2312" w:eastAsia="仿宋_GB2312" w:cs="仿宋_GB2312"/>
          <w:b/>
          <w:sz w:val="28"/>
          <w:highlight w:val="none"/>
          <w:lang w:eastAsia="zh-CN"/>
        </w:rPr>
      </w:pPr>
      <w:r>
        <w:rPr>
          <w:rFonts w:hint="eastAsia" w:ascii="仿宋_GB2312" w:hAnsi="仿宋_GB2312" w:eastAsia="仿宋_GB2312" w:cs="仿宋_GB2312"/>
          <w:b/>
          <w:sz w:val="28"/>
          <w:highlight w:val="none"/>
          <w:lang w:eastAsia="zh-CN"/>
        </w:rPr>
        <w:t>（</w:t>
      </w:r>
      <w:r>
        <w:rPr>
          <w:rFonts w:hint="eastAsia" w:ascii="仿宋_GB2312" w:hAnsi="仿宋_GB2312" w:eastAsia="仿宋_GB2312" w:cs="仿宋_GB2312"/>
          <w:b/>
          <w:sz w:val="28"/>
          <w:highlight w:val="none"/>
          <w:lang w:val="en-US" w:eastAsia="zh-CN"/>
        </w:rPr>
        <w:t>预公告</w:t>
      </w:r>
      <w:r>
        <w:rPr>
          <w:rFonts w:hint="eastAsia" w:ascii="仿宋_GB2312" w:hAnsi="仿宋_GB2312" w:eastAsia="仿宋_GB2312" w:cs="仿宋_GB2312"/>
          <w:b/>
          <w:sz w:val="28"/>
          <w:highlight w:val="none"/>
          <w:lang w:eastAsia="zh-CN"/>
        </w:rPr>
        <w:t>）</w:t>
      </w:r>
    </w:p>
    <w:p w14:paraId="58A6DB85">
      <w:pPr>
        <w:pStyle w:val="4"/>
        <w:jc w:val="center"/>
        <w:outlineLvl w:val="2"/>
        <w:rPr>
          <w:rFonts w:ascii="仿宋_GB2312" w:hAnsi="仿宋_GB2312" w:eastAsia="仿宋_GB2312" w:cs="仿宋_GB2312"/>
          <w:b/>
          <w:sz w:val="28"/>
          <w:highlight w:val="none"/>
        </w:rPr>
      </w:pPr>
      <w:bookmarkStart w:id="0" w:name="_GoBack"/>
      <w:bookmarkEnd w:id="0"/>
    </w:p>
    <w:p w14:paraId="2368C85F">
      <w:pPr>
        <w:pStyle w:val="4"/>
        <w:jc w:val="center"/>
        <w:outlineLvl w:val="2"/>
        <w:rPr>
          <w:rFonts w:ascii="仿宋_GB2312" w:hAnsi="仿宋_GB2312" w:eastAsia="仿宋_GB2312" w:cs="仿宋_GB2312"/>
          <w:b/>
          <w:sz w:val="28"/>
          <w:highlight w:val="none"/>
        </w:rPr>
      </w:pPr>
    </w:p>
    <w:p w14:paraId="3FA34D29">
      <w:pPr>
        <w:pStyle w:val="4"/>
        <w:jc w:val="center"/>
        <w:outlineLvl w:val="2"/>
        <w:rPr>
          <w:rFonts w:ascii="仿宋_GB2312" w:hAnsi="仿宋_GB2312" w:eastAsia="仿宋_GB2312" w:cs="仿宋_GB2312"/>
          <w:b/>
          <w:sz w:val="28"/>
          <w:highlight w:val="none"/>
        </w:rPr>
      </w:pPr>
    </w:p>
    <w:p w14:paraId="5F381852">
      <w:pPr>
        <w:pStyle w:val="4"/>
        <w:jc w:val="center"/>
        <w:outlineLvl w:val="2"/>
        <w:rPr>
          <w:highlight w:val="none"/>
        </w:rPr>
      </w:pPr>
      <w:r>
        <w:rPr>
          <w:rFonts w:ascii="仿宋_GB2312" w:hAnsi="仿宋_GB2312" w:eastAsia="仿宋_GB2312" w:cs="仿宋_GB2312"/>
          <w:b/>
          <w:sz w:val="28"/>
          <w:highlight w:val="none"/>
        </w:rPr>
        <w:t>项目名称：福建船政交通职业学院物业管理服务项目</w:t>
      </w:r>
    </w:p>
    <w:p w14:paraId="43AB29FF">
      <w:pPr>
        <w:pStyle w:val="4"/>
        <w:jc w:val="center"/>
        <w:outlineLvl w:val="2"/>
        <w:rPr>
          <w:highlight w:val="none"/>
        </w:rPr>
      </w:pPr>
      <w:r>
        <w:rPr>
          <w:rFonts w:ascii="仿宋_GB2312" w:hAnsi="仿宋_GB2312" w:eastAsia="仿宋_GB2312" w:cs="仿宋_GB2312"/>
          <w:b/>
          <w:sz w:val="28"/>
          <w:highlight w:val="none"/>
        </w:rPr>
        <w:t>备案编号：CGXM-2025-350001-08441[2025]04651</w:t>
      </w:r>
    </w:p>
    <w:p w14:paraId="684EA557">
      <w:pPr>
        <w:pStyle w:val="4"/>
        <w:jc w:val="center"/>
        <w:outlineLvl w:val="2"/>
        <w:rPr>
          <w:highlight w:val="none"/>
        </w:rPr>
      </w:pPr>
      <w:r>
        <w:rPr>
          <w:rFonts w:ascii="仿宋_GB2312" w:hAnsi="仿宋_GB2312" w:eastAsia="仿宋_GB2312" w:cs="仿宋_GB2312"/>
          <w:b/>
          <w:sz w:val="28"/>
          <w:highlight w:val="none"/>
        </w:rPr>
        <w:t>项目编号：[350001]FJGGZY[GK]2025046</w:t>
      </w:r>
    </w:p>
    <w:p w14:paraId="55DBA4BA">
      <w:pPr>
        <w:pStyle w:val="4"/>
        <w:jc w:val="center"/>
        <w:outlineLvl w:val="2"/>
        <w:rPr>
          <w:rFonts w:ascii="仿宋_GB2312" w:hAnsi="仿宋_GB2312" w:eastAsia="仿宋_GB2312" w:cs="仿宋_GB2312"/>
          <w:b/>
          <w:sz w:val="28"/>
          <w:highlight w:val="none"/>
        </w:rPr>
      </w:pPr>
    </w:p>
    <w:p w14:paraId="58101A01">
      <w:pPr>
        <w:pStyle w:val="4"/>
        <w:jc w:val="center"/>
        <w:outlineLvl w:val="2"/>
        <w:rPr>
          <w:rFonts w:ascii="仿宋_GB2312" w:hAnsi="仿宋_GB2312" w:eastAsia="仿宋_GB2312" w:cs="仿宋_GB2312"/>
          <w:b/>
          <w:sz w:val="28"/>
          <w:highlight w:val="none"/>
        </w:rPr>
      </w:pPr>
    </w:p>
    <w:p w14:paraId="2CFE9FEA">
      <w:pPr>
        <w:pStyle w:val="4"/>
        <w:jc w:val="center"/>
        <w:outlineLvl w:val="2"/>
        <w:rPr>
          <w:rFonts w:ascii="仿宋_GB2312" w:hAnsi="仿宋_GB2312" w:eastAsia="仿宋_GB2312" w:cs="仿宋_GB2312"/>
          <w:b/>
          <w:sz w:val="28"/>
          <w:highlight w:val="none"/>
        </w:rPr>
      </w:pPr>
    </w:p>
    <w:p w14:paraId="55892789">
      <w:pPr>
        <w:pStyle w:val="4"/>
        <w:jc w:val="center"/>
        <w:outlineLvl w:val="2"/>
        <w:rPr>
          <w:rFonts w:ascii="仿宋_GB2312" w:hAnsi="仿宋_GB2312" w:eastAsia="仿宋_GB2312" w:cs="仿宋_GB2312"/>
          <w:b/>
          <w:sz w:val="28"/>
          <w:highlight w:val="none"/>
        </w:rPr>
      </w:pPr>
    </w:p>
    <w:p w14:paraId="3C0F16D5">
      <w:pPr>
        <w:pStyle w:val="4"/>
        <w:jc w:val="center"/>
        <w:outlineLvl w:val="2"/>
        <w:rPr>
          <w:highlight w:val="none"/>
        </w:rPr>
      </w:pPr>
      <w:r>
        <w:rPr>
          <w:rFonts w:ascii="仿宋_GB2312" w:hAnsi="仿宋_GB2312" w:eastAsia="仿宋_GB2312" w:cs="仿宋_GB2312"/>
          <w:b/>
          <w:sz w:val="28"/>
          <w:highlight w:val="none"/>
        </w:rPr>
        <w:t>采购人：福建船政交通职业学院</w:t>
      </w:r>
    </w:p>
    <w:p w14:paraId="11A3D3DB">
      <w:pPr>
        <w:pStyle w:val="4"/>
        <w:jc w:val="center"/>
        <w:outlineLvl w:val="2"/>
        <w:rPr>
          <w:highlight w:val="none"/>
        </w:rPr>
      </w:pPr>
      <w:r>
        <w:rPr>
          <w:rFonts w:ascii="仿宋_GB2312" w:hAnsi="仿宋_GB2312" w:eastAsia="仿宋_GB2312" w:cs="仿宋_GB2312"/>
          <w:b/>
          <w:sz w:val="28"/>
          <w:highlight w:val="none"/>
        </w:rPr>
        <w:t>代理机构：福建省公共资源交易中心</w:t>
      </w:r>
    </w:p>
    <w:p w14:paraId="3933AD28">
      <w:pPr>
        <w:pStyle w:val="4"/>
        <w:jc w:val="center"/>
        <w:outlineLvl w:val="2"/>
        <w:rPr>
          <w:highlight w:val="none"/>
        </w:rPr>
      </w:pPr>
      <w:r>
        <w:rPr>
          <w:rFonts w:ascii="仿宋_GB2312" w:hAnsi="仿宋_GB2312" w:eastAsia="仿宋_GB2312" w:cs="仿宋_GB2312"/>
          <w:b/>
          <w:sz w:val="28"/>
          <w:highlight w:val="none"/>
        </w:rPr>
        <w:t>编制时间：2025年07月</w:t>
      </w:r>
    </w:p>
    <w:p w14:paraId="15D024C2">
      <w:pPr>
        <w:pStyle w:val="4"/>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0C31404F">
      <w:pPr>
        <w:pStyle w:val="4"/>
        <w:jc w:val="center"/>
        <w:outlineLvl w:val="1"/>
        <w:rPr>
          <w:highlight w:val="none"/>
        </w:rPr>
      </w:pPr>
      <w:r>
        <w:rPr>
          <w:rFonts w:ascii="仿宋_GB2312" w:hAnsi="仿宋_GB2312" w:eastAsia="仿宋_GB2312" w:cs="仿宋_GB2312"/>
          <w:b/>
          <w:sz w:val="36"/>
          <w:highlight w:val="none"/>
        </w:rPr>
        <w:t>第一章 投标邀请</w:t>
      </w:r>
    </w:p>
    <w:p w14:paraId="58654D9D">
      <w:pPr>
        <w:pStyle w:val="4"/>
        <w:ind w:firstLine="480"/>
        <w:jc w:val="both"/>
        <w:rPr>
          <w:highlight w:val="none"/>
        </w:rPr>
      </w:pPr>
      <w:r>
        <w:rPr>
          <w:rFonts w:ascii="仿宋_GB2312" w:hAnsi="仿宋_GB2312" w:eastAsia="仿宋_GB2312" w:cs="仿宋_GB2312"/>
          <w:highlight w:val="none"/>
        </w:rPr>
        <w:t>福建省公共资源交易中心 采用公开招标方式组织 福建船政交通职业学院物业管理服务项目 （以下简称：“本项目”）的政府采购活动，现邀请供应商参加投标。</w:t>
      </w:r>
    </w:p>
    <w:p w14:paraId="52B65D1F">
      <w:pPr>
        <w:pStyle w:val="4"/>
        <w:ind w:firstLine="480"/>
        <w:jc w:val="left"/>
        <w:outlineLvl w:val="2"/>
        <w:rPr>
          <w:highlight w:val="none"/>
        </w:rPr>
      </w:pPr>
      <w:r>
        <w:rPr>
          <w:rFonts w:ascii="仿宋_GB2312" w:hAnsi="仿宋_GB2312" w:eastAsia="仿宋_GB2312" w:cs="仿宋_GB2312"/>
          <w:b/>
          <w:sz w:val="28"/>
          <w:highlight w:val="none"/>
        </w:rPr>
        <w:t>1、备案编号：CGXM-2025-350001-08441[2025]04651</w:t>
      </w:r>
    </w:p>
    <w:p w14:paraId="2BE805A2">
      <w:pPr>
        <w:pStyle w:val="4"/>
        <w:ind w:firstLine="480"/>
        <w:jc w:val="left"/>
        <w:outlineLvl w:val="2"/>
        <w:rPr>
          <w:highlight w:val="none"/>
        </w:rPr>
      </w:pPr>
      <w:r>
        <w:rPr>
          <w:rFonts w:ascii="仿宋_GB2312" w:hAnsi="仿宋_GB2312" w:eastAsia="仿宋_GB2312" w:cs="仿宋_GB2312"/>
          <w:b/>
          <w:sz w:val="28"/>
          <w:highlight w:val="none"/>
        </w:rPr>
        <w:t>2、项目编号：[350001]FJGGZY[GK]2025046</w:t>
      </w:r>
    </w:p>
    <w:p w14:paraId="64BAD2CB">
      <w:pPr>
        <w:pStyle w:val="4"/>
        <w:ind w:firstLine="480"/>
        <w:jc w:val="both"/>
        <w:outlineLvl w:val="2"/>
        <w:rPr>
          <w:highlight w:val="none"/>
        </w:rPr>
      </w:pPr>
      <w:r>
        <w:rPr>
          <w:rFonts w:ascii="仿宋_GB2312" w:hAnsi="仿宋_GB2312" w:eastAsia="仿宋_GB2312" w:cs="仿宋_GB2312"/>
          <w:b/>
          <w:sz w:val="28"/>
          <w:highlight w:val="none"/>
        </w:rPr>
        <w:t>3、预算金额、最高限价：详见《采购标的一览表》。</w:t>
      </w:r>
    </w:p>
    <w:p w14:paraId="504AFFA3">
      <w:pPr>
        <w:pStyle w:val="4"/>
        <w:ind w:firstLine="480"/>
        <w:jc w:val="left"/>
        <w:outlineLvl w:val="2"/>
        <w:rPr>
          <w:highlight w:val="none"/>
        </w:rPr>
      </w:pPr>
      <w:r>
        <w:rPr>
          <w:rFonts w:ascii="仿宋_GB2312" w:hAnsi="仿宋_GB2312" w:eastAsia="仿宋_GB2312" w:cs="仿宋_GB2312"/>
          <w:b/>
          <w:sz w:val="28"/>
          <w:highlight w:val="none"/>
        </w:rPr>
        <w:t>4、招标内容及要求：详见《采购标的一览表》及招标文件第五章。</w:t>
      </w:r>
    </w:p>
    <w:p w14:paraId="3BD94737">
      <w:pPr>
        <w:pStyle w:val="4"/>
        <w:ind w:firstLine="480"/>
        <w:jc w:val="left"/>
        <w:outlineLvl w:val="2"/>
        <w:rPr>
          <w:highlight w:val="none"/>
        </w:rPr>
      </w:pPr>
      <w:r>
        <w:rPr>
          <w:rFonts w:ascii="仿宋_GB2312" w:hAnsi="仿宋_GB2312" w:eastAsia="仿宋_GB2312" w:cs="仿宋_GB2312"/>
          <w:b/>
          <w:sz w:val="28"/>
          <w:highlight w:val="none"/>
        </w:rPr>
        <w:t>5、需要落实的政府采购政策</w:t>
      </w:r>
    </w:p>
    <w:p w14:paraId="73C4AB63">
      <w:pPr>
        <w:pStyle w:val="4"/>
        <w:ind w:firstLine="960"/>
        <w:jc w:val="left"/>
        <w:rPr>
          <w:highlight w:val="none"/>
        </w:rPr>
      </w:pPr>
      <w:r>
        <w:rPr>
          <w:rFonts w:ascii="仿宋_GB2312" w:hAnsi="仿宋_GB2312" w:eastAsia="仿宋_GB2312" w:cs="仿宋_GB2312"/>
          <w:highlight w:val="none"/>
        </w:rPr>
        <w:t>进口产品：无</w:t>
      </w:r>
    </w:p>
    <w:p w14:paraId="335FF6E0">
      <w:pPr>
        <w:pStyle w:val="4"/>
        <w:ind w:firstLine="960"/>
        <w:jc w:val="left"/>
        <w:rPr>
          <w:highlight w:val="none"/>
        </w:rPr>
      </w:pPr>
      <w:r>
        <w:rPr>
          <w:rFonts w:ascii="仿宋_GB2312" w:hAnsi="仿宋_GB2312" w:eastAsia="仿宋_GB2312" w:cs="仿宋_GB2312"/>
          <w:highlight w:val="none"/>
        </w:rPr>
        <w:t>节能产品：无</w:t>
      </w:r>
    </w:p>
    <w:p w14:paraId="40B4F4C4">
      <w:pPr>
        <w:pStyle w:val="4"/>
        <w:ind w:firstLine="960"/>
        <w:jc w:val="left"/>
        <w:rPr>
          <w:highlight w:val="none"/>
        </w:rPr>
      </w:pPr>
      <w:r>
        <w:rPr>
          <w:rFonts w:ascii="仿宋_GB2312" w:hAnsi="仿宋_GB2312" w:eastAsia="仿宋_GB2312" w:cs="仿宋_GB2312"/>
          <w:highlight w:val="none"/>
        </w:rPr>
        <w:t>环境标志产品：无</w:t>
      </w:r>
    </w:p>
    <w:p w14:paraId="02EFA45D">
      <w:pPr>
        <w:pStyle w:val="4"/>
        <w:ind w:firstLine="960"/>
        <w:jc w:val="left"/>
        <w:rPr>
          <w:highlight w:val="none"/>
        </w:rPr>
      </w:pPr>
      <w:r>
        <w:rPr>
          <w:rFonts w:ascii="仿宋_GB2312" w:hAnsi="仿宋_GB2312" w:eastAsia="仿宋_GB2312" w:cs="仿宋_GB2312"/>
          <w:highlight w:val="none"/>
        </w:rPr>
        <w:t>促进中小企业发展的相关政策：</w:t>
      </w:r>
    </w:p>
    <w:p w14:paraId="561F7D41">
      <w:pPr>
        <w:pStyle w:val="4"/>
        <w:ind w:firstLine="960"/>
        <w:jc w:val="left"/>
        <w:rPr>
          <w:highlight w:val="none"/>
        </w:rPr>
      </w:pPr>
      <w:r>
        <w:rPr>
          <w:rFonts w:ascii="仿宋_GB2312" w:hAnsi="仿宋_GB2312" w:eastAsia="仿宋_GB2312" w:cs="仿宋_GB2312"/>
          <w:highlight w:val="none"/>
        </w:rPr>
        <w:t>采购包1：不专门面向中小企业采购</w:t>
      </w:r>
    </w:p>
    <w:p w14:paraId="28DBB09F">
      <w:pPr>
        <w:pStyle w:val="4"/>
        <w:ind w:firstLine="480"/>
        <w:jc w:val="both"/>
        <w:outlineLvl w:val="2"/>
        <w:rPr>
          <w:highlight w:val="none"/>
        </w:rPr>
      </w:pPr>
      <w:r>
        <w:rPr>
          <w:rFonts w:ascii="仿宋_GB2312" w:hAnsi="仿宋_GB2312" w:eastAsia="仿宋_GB2312" w:cs="仿宋_GB2312"/>
          <w:b/>
          <w:sz w:val="28"/>
          <w:highlight w:val="none"/>
        </w:rPr>
        <w:t>6、投标人的资格要求</w:t>
      </w:r>
    </w:p>
    <w:p w14:paraId="46345DC4">
      <w:pPr>
        <w:pStyle w:val="4"/>
        <w:ind w:firstLine="960"/>
        <w:jc w:val="both"/>
        <w:rPr>
          <w:highlight w:val="none"/>
        </w:rPr>
      </w:pPr>
      <w:r>
        <w:rPr>
          <w:rFonts w:ascii="仿宋_GB2312" w:hAnsi="仿宋_GB2312" w:eastAsia="仿宋_GB2312" w:cs="仿宋_GB2312"/>
          <w:highlight w:val="none"/>
        </w:rPr>
        <w:t>6.1法定条件：符合政府采购法第二十二条第一款规定的条件。</w:t>
      </w:r>
    </w:p>
    <w:p w14:paraId="2891A46E">
      <w:pPr>
        <w:pStyle w:val="4"/>
        <w:ind w:firstLine="960"/>
        <w:jc w:val="both"/>
        <w:rPr>
          <w:highlight w:val="none"/>
        </w:rPr>
      </w:pPr>
      <w:r>
        <w:rPr>
          <w:rFonts w:ascii="仿宋_GB2312" w:hAnsi="仿宋_GB2312" w:eastAsia="仿宋_GB2312" w:cs="仿宋_GB2312"/>
          <w:highlight w:val="none"/>
        </w:rPr>
        <w:t>6.2特定条件：</w:t>
      </w:r>
    </w:p>
    <w:p w14:paraId="5FEFBAE7">
      <w:pPr>
        <w:pStyle w:val="4"/>
        <w:ind w:firstLine="960"/>
        <w:jc w:val="both"/>
        <w:rPr>
          <w:highlight w:val="none"/>
        </w:rPr>
      </w:pPr>
      <w:r>
        <w:rPr>
          <w:rFonts w:ascii="仿宋_GB2312" w:hAnsi="仿宋_GB2312" w:eastAsia="仿宋_GB2312" w:cs="仿宋_GB2312"/>
          <w:highlight w:val="none"/>
        </w:rPr>
        <w:t>采购包1：</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692"/>
        <w:gridCol w:w="4614"/>
      </w:tblGrid>
      <w:tr w14:paraId="6900F6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5DCE8ECA">
            <w:pPr>
              <w:pStyle w:val="4"/>
              <w:jc w:val="both"/>
              <w:rPr>
                <w:highlight w:val="none"/>
              </w:rPr>
            </w:pPr>
            <w:r>
              <w:rPr>
                <w:rFonts w:ascii="仿宋_GB2312" w:hAnsi="仿宋_GB2312" w:eastAsia="仿宋_GB2312" w:cs="仿宋_GB2312"/>
                <w:highlight w:val="none"/>
              </w:rPr>
              <w:t xml:space="preserve"> 资格审查要求概况</w:t>
            </w:r>
          </w:p>
        </w:tc>
        <w:tc>
          <w:tcPr>
            <w:tcW w:w="4614" w:type="dxa"/>
          </w:tcPr>
          <w:p w14:paraId="35F79446">
            <w:pPr>
              <w:pStyle w:val="4"/>
              <w:jc w:val="both"/>
              <w:rPr>
                <w:highlight w:val="none"/>
              </w:rPr>
            </w:pPr>
            <w:r>
              <w:rPr>
                <w:rFonts w:ascii="仿宋_GB2312" w:hAnsi="仿宋_GB2312" w:eastAsia="仿宋_GB2312" w:cs="仿宋_GB2312"/>
                <w:highlight w:val="none"/>
              </w:rPr>
              <w:t xml:space="preserve"> 评审点具体描述</w:t>
            </w:r>
          </w:p>
        </w:tc>
      </w:tr>
      <w:tr w14:paraId="2C726B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6C152DF0">
            <w:pPr>
              <w:pStyle w:val="4"/>
              <w:jc w:val="both"/>
              <w:rPr>
                <w:highlight w:val="none"/>
              </w:rPr>
            </w:pPr>
            <w:r>
              <w:rPr>
                <w:rFonts w:ascii="仿宋_GB2312" w:hAnsi="仿宋_GB2312" w:eastAsia="仿宋_GB2312" w:cs="仿宋_GB2312"/>
                <w:highlight w:val="none"/>
              </w:rPr>
              <w:t>资格承诺函</w:t>
            </w:r>
          </w:p>
        </w:tc>
        <w:tc>
          <w:tcPr>
            <w:tcW w:w="4614" w:type="dxa"/>
          </w:tcPr>
          <w:p w14:paraId="5AE653C4">
            <w:pPr>
              <w:pStyle w:val="4"/>
              <w:jc w:val="both"/>
              <w:rPr>
                <w:highlight w:val="none"/>
              </w:rPr>
            </w:pPr>
            <w:r>
              <w:rPr>
                <w:rFonts w:ascii="仿宋_GB2312" w:hAnsi="仿宋_GB2312" w:eastAsia="仿宋_GB2312" w:cs="仿宋_GB2312"/>
                <w:highlight w:val="none"/>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bl>
    <w:p w14:paraId="57C98583">
      <w:pPr>
        <w:pStyle w:val="4"/>
        <w:ind w:firstLine="960"/>
        <w:jc w:val="both"/>
        <w:rPr>
          <w:highlight w:val="none"/>
        </w:rPr>
      </w:pPr>
      <w:r>
        <w:rPr>
          <w:rFonts w:ascii="仿宋_GB2312" w:hAnsi="仿宋_GB2312" w:eastAsia="仿宋_GB2312" w:cs="仿宋_GB2312"/>
          <w:highlight w:val="none"/>
        </w:rPr>
        <w:t>6.3是否接受联合体投标：</w:t>
      </w:r>
    </w:p>
    <w:p w14:paraId="4204E8CA">
      <w:pPr>
        <w:pStyle w:val="4"/>
        <w:ind w:firstLine="960"/>
        <w:jc w:val="both"/>
        <w:rPr>
          <w:highlight w:val="none"/>
        </w:rPr>
      </w:pPr>
      <w:r>
        <w:rPr>
          <w:rFonts w:ascii="仿宋_GB2312" w:hAnsi="仿宋_GB2312" w:eastAsia="仿宋_GB2312" w:cs="仿宋_GB2312"/>
          <w:highlight w:val="none"/>
        </w:rPr>
        <w:t>采购包1：不接受</w:t>
      </w:r>
    </w:p>
    <w:p w14:paraId="1A417450">
      <w:pPr>
        <w:pStyle w:val="4"/>
        <w:ind w:firstLine="480"/>
        <w:jc w:val="both"/>
        <w:rPr>
          <w:highlight w:val="none"/>
        </w:rPr>
      </w:pPr>
      <w:r>
        <w:rPr>
          <w:rFonts w:ascii="仿宋_GB2312" w:hAnsi="仿宋_GB2312" w:eastAsia="仿宋_GB2312" w:cs="仿宋_GB2312"/>
          <w:b/>
          <w:highlight w:val="none"/>
        </w:rPr>
        <w:t>※根据上述资格要求，电子投标文件中应提交的“投标人的资格及资信证明文件”详见招标文件第四章。</w:t>
      </w:r>
    </w:p>
    <w:p w14:paraId="7546113F">
      <w:pPr>
        <w:pStyle w:val="4"/>
        <w:ind w:firstLine="480"/>
        <w:jc w:val="both"/>
        <w:outlineLvl w:val="2"/>
        <w:rPr>
          <w:highlight w:val="none"/>
        </w:rPr>
      </w:pPr>
      <w:r>
        <w:rPr>
          <w:rFonts w:ascii="仿宋_GB2312" w:hAnsi="仿宋_GB2312" w:eastAsia="仿宋_GB2312" w:cs="仿宋_GB2312"/>
          <w:b/>
          <w:sz w:val="28"/>
          <w:highlight w:val="none"/>
        </w:rPr>
        <w:t>7、招标文件的获取</w:t>
      </w:r>
    </w:p>
    <w:p w14:paraId="140B358E">
      <w:pPr>
        <w:pStyle w:val="4"/>
        <w:ind w:firstLine="960"/>
        <w:jc w:val="both"/>
        <w:rPr>
          <w:highlight w:val="none"/>
        </w:rPr>
      </w:pPr>
      <w:r>
        <w:rPr>
          <w:rFonts w:ascii="仿宋_GB2312" w:hAnsi="仿宋_GB2312" w:eastAsia="仿宋_GB2312" w:cs="仿宋_GB2312"/>
          <w:highlight w:val="none"/>
        </w:rPr>
        <w:t>7.1、招标文件获取期限：详见招标公告或更正公告，若不一致，以更正公告为准。</w:t>
      </w:r>
    </w:p>
    <w:p w14:paraId="1E142CEE">
      <w:pPr>
        <w:pStyle w:val="4"/>
        <w:ind w:firstLine="960"/>
        <w:jc w:val="both"/>
        <w:rPr>
          <w:highlight w:val="none"/>
        </w:rPr>
      </w:pPr>
      <w:r>
        <w:rPr>
          <w:rFonts w:ascii="仿宋_GB2312" w:hAnsi="仿宋_GB2312" w:eastAsia="仿宋_GB2312" w:cs="仿宋_GB2312"/>
          <w:highlight w:val="none"/>
        </w:rPr>
        <w:t>7.2、在招标文件获取期限内，供应商应通过福建省政府采购网上公开信息系统的注册账号（免费注册）并获取招标文件(登录福建省政府采购网上公开信息系统进行文件获取)，否则投标将被拒绝。</w:t>
      </w:r>
    </w:p>
    <w:p w14:paraId="00378A6A">
      <w:pPr>
        <w:pStyle w:val="4"/>
        <w:ind w:firstLine="960"/>
        <w:jc w:val="both"/>
        <w:rPr>
          <w:highlight w:val="none"/>
        </w:rPr>
      </w:pPr>
      <w:r>
        <w:rPr>
          <w:rFonts w:ascii="仿宋_GB2312" w:hAnsi="仿宋_GB2312" w:eastAsia="仿宋_GB2312" w:cs="仿宋_GB2312"/>
          <w:highlight w:val="none"/>
        </w:rPr>
        <w:t>7.3、获取地点及方式：注册账号后，通过福建省政府采购网上公开信息系统以下载方式获取。</w:t>
      </w:r>
    </w:p>
    <w:p w14:paraId="1939AF5C">
      <w:pPr>
        <w:pStyle w:val="4"/>
        <w:ind w:firstLine="960"/>
        <w:jc w:val="both"/>
        <w:rPr>
          <w:highlight w:val="none"/>
        </w:rPr>
      </w:pPr>
      <w:r>
        <w:rPr>
          <w:rFonts w:ascii="仿宋_GB2312" w:hAnsi="仿宋_GB2312" w:eastAsia="仿宋_GB2312" w:cs="仿宋_GB2312"/>
          <w:highlight w:val="none"/>
        </w:rPr>
        <w:t>7.4、招标文件售价：0元。</w:t>
      </w:r>
    </w:p>
    <w:p w14:paraId="1625B6F8">
      <w:pPr>
        <w:pStyle w:val="4"/>
        <w:ind w:firstLine="480"/>
        <w:jc w:val="both"/>
        <w:outlineLvl w:val="2"/>
        <w:rPr>
          <w:highlight w:val="none"/>
        </w:rPr>
      </w:pPr>
      <w:r>
        <w:rPr>
          <w:rFonts w:ascii="仿宋_GB2312" w:hAnsi="仿宋_GB2312" w:eastAsia="仿宋_GB2312" w:cs="仿宋_GB2312"/>
          <w:b/>
          <w:sz w:val="28"/>
          <w:highlight w:val="none"/>
        </w:rPr>
        <w:t>8、投标截止</w:t>
      </w:r>
    </w:p>
    <w:p w14:paraId="6AF6D892">
      <w:pPr>
        <w:pStyle w:val="4"/>
        <w:ind w:firstLine="960"/>
        <w:jc w:val="both"/>
        <w:rPr>
          <w:highlight w:val="none"/>
        </w:rPr>
      </w:pPr>
      <w:r>
        <w:rPr>
          <w:rFonts w:ascii="仿宋_GB2312" w:hAnsi="仿宋_GB2312" w:eastAsia="仿宋_GB2312" w:cs="仿宋_GB2312"/>
          <w:highlight w:val="none"/>
        </w:rPr>
        <w:t>8.1、投标截止时间：详见招标公告或更正公告，若不一致，以更正公告为准。</w:t>
      </w:r>
    </w:p>
    <w:p w14:paraId="5E73DC72">
      <w:pPr>
        <w:pStyle w:val="4"/>
        <w:ind w:firstLine="960"/>
        <w:jc w:val="both"/>
        <w:rPr>
          <w:highlight w:val="none"/>
        </w:rPr>
      </w:pPr>
      <w:r>
        <w:rPr>
          <w:rFonts w:ascii="仿宋_GB2312" w:hAnsi="仿宋_GB2312" w:eastAsia="仿宋_GB2312" w:cs="仿宋_GB2312"/>
          <w:highlight w:val="none"/>
        </w:rPr>
        <w:t>8.2、投标人应在投标截止时间前按照福建省政府采购网上公开信息系统设定的操作流程将电子投标文件上传至福建省政府采购网上公开信息系统，否则投标将被拒绝。</w:t>
      </w:r>
    </w:p>
    <w:p w14:paraId="408BE26D">
      <w:pPr>
        <w:pStyle w:val="4"/>
        <w:ind w:firstLine="480"/>
        <w:jc w:val="both"/>
        <w:outlineLvl w:val="2"/>
        <w:rPr>
          <w:highlight w:val="none"/>
        </w:rPr>
      </w:pPr>
      <w:r>
        <w:rPr>
          <w:rFonts w:ascii="仿宋_GB2312" w:hAnsi="仿宋_GB2312" w:eastAsia="仿宋_GB2312" w:cs="仿宋_GB2312"/>
          <w:b/>
          <w:sz w:val="28"/>
          <w:highlight w:val="none"/>
        </w:rPr>
        <w:t>9、开标时间及地点</w:t>
      </w:r>
    </w:p>
    <w:p w14:paraId="0D29AAC7">
      <w:pPr>
        <w:pStyle w:val="4"/>
        <w:ind w:firstLine="960"/>
        <w:jc w:val="both"/>
        <w:rPr>
          <w:highlight w:val="none"/>
        </w:rPr>
      </w:pPr>
      <w:r>
        <w:rPr>
          <w:rFonts w:ascii="仿宋_GB2312" w:hAnsi="仿宋_GB2312" w:eastAsia="仿宋_GB2312" w:cs="仿宋_GB2312"/>
          <w:highlight w:val="none"/>
        </w:rPr>
        <w:t>详见招标公告或更正公告，若不一致，以更正公告为准。</w:t>
      </w:r>
    </w:p>
    <w:p w14:paraId="25DAD010">
      <w:pPr>
        <w:pStyle w:val="4"/>
        <w:ind w:firstLine="480"/>
        <w:jc w:val="both"/>
        <w:outlineLvl w:val="2"/>
        <w:rPr>
          <w:highlight w:val="none"/>
        </w:rPr>
      </w:pPr>
      <w:r>
        <w:rPr>
          <w:rFonts w:ascii="仿宋_GB2312" w:hAnsi="仿宋_GB2312" w:eastAsia="仿宋_GB2312" w:cs="仿宋_GB2312"/>
          <w:b/>
          <w:sz w:val="28"/>
          <w:highlight w:val="none"/>
        </w:rPr>
        <w:t>10、公告期限</w:t>
      </w:r>
    </w:p>
    <w:p w14:paraId="268EC271">
      <w:pPr>
        <w:pStyle w:val="4"/>
        <w:ind w:firstLine="960"/>
        <w:jc w:val="both"/>
        <w:rPr>
          <w:highlight w:val="none"/>
        </w:rPr>
      </w:pPr>
      <w:r>
        <w:rPr>
          <w:rFonts w:ascii="仿宋_GB2312" w:hAnsi="仿宋_GB2312" w:eastAsia="仿宋_GB2312" w:cs="仿宋_GB2312"/>
          <w:highlight w:val="none"/>
        </w:rPr>
        <w:t>10.1、招标公告的公告期限：自财政部和福建省财政厅指定的政府采购信息发布媒体最先发布公告之日起5个工作日。</w:t>
      </w:r>
    </w:p>
    <w:p w14:paraId="52CFDDEA">
      <w:pPr>
        <w:pStyle w:val="4"/>
        <w:ind w:firstLine="960"/>
        <w:jc w:val="both"/>
        <w:rPr>
          <w:highlight w:val="none"/>
        </w:rPr>
      </w:pPr>
      <w:r>
        <w:rPr>
          <w:rFonts w:ascii="仿宋_GB2312" w:hAnsi="仿宋_GB2312" w:eastAsia="仿宋_GB2312" w:cs="仿宋_GB2312"/>
          <w:highlight w:val="none"/>
        </w:rPr>
        <w:t>10.2、招标文件公告期限：招标文件随同招标公告一并发布，其公告期限与招标公告的公告期限保持一致。</w:t>
      </w:r>
    </w:p>
    <w:p w14:paraId="6FE88527">
      <w:pPr>
        <w:pStyle w:val="4"/>
        <w:ind w:firstLine="480"/>
        <w:jc w:val="left"/>
        <w:outlineLvl w:val="2"/>
        <w:rPr>
          <w:highlight w:val="none"/>
        </w:rPr>
      </w:pPr>
      <w:r>
        <w:rPr>
          <w:rFonts w:ascii="仿宋_GB2312" w:hAnsi="仿宋_GB2312" w:eastAsia="仿宋_GB2312" w:cs="仿宋_GB2312"/>
          <w:b/>
          <w:sz w:val="28"/>
          <w:highlight w:val="none"/>
        </w:rPr>
        <w:t>11、采购人：福建船政交通职业学院</w:t>
      </w:r>
    </w:p>
    <w:p w14:paraId="0CB7AB73">
      <w:pPr>
        <w:pStyle w:val="4"/>
        <w:ind w:firstLine="960"/>
        <w:jc w:val="left"/>
        <w:rPr>
          <w:highlight w:val="none"/>
        </w:rPr>
      </w:pPr>
      <w:r>
        <w:rPr>
          <w:rFonts w:ascii="仿宋_GB2312" w:hAnsi="仿宋_GB2312" w:eastAsia="仿宋_GB2312" w:cs="仿宋_GB2312"/>
          <w:highlight w:val="none"/>
        </w:rPr>
        <w:t xml:space="preserve"> 地址： 福州市仓山区首山路80号</w:t>
      </w:r>
    </w:p>
    <w:p w14:paraId="122E2758">
      <w:pPr>
        <w:pStyle w:val="4"/>
        <w:jc w:val="left"/>
        <w:rPr>
          <w:highlight w:val="none"/>
        </w:rPr>
      </w:pPr>
      <w:r>
        <w:rPr>
          <w:rFonts w:ascii="仿宋_GB2312" w:hAnsi="仿宋_GB2312" w:eastAsia="仿宋_GB2312" w:cs="仿宋_GB2312"/>
          <w:highlight w:val="none"/>
        </w:rPr>
        <w:t xml:space="preserve"> 邮编： 350007</w:t>
      </w:r>
    </w:p>
    <w:p w14:paraId="0CA75317">
      <w:pPr>
        <w:pStyle w:val="4"/>
        <w:jc w:val="left"/>
        <w:rPr>
          <w:highlight w:val="none"/>
        </w:rPr>
      </w:pPr>
      <w:r>
        <w:rPr>
          <w:rFonts w:ascii="仿宋_GB2312" w:hAnsi="仿宋_GB2312" w:eastAsia="仿宋_GB2312" w:cs="仿宋_GB2312"/>
          <w:highlight w:val="none"/>
        </w:rPr>
        <w:t xml:space="preserve"> 联系人： 王志</w:t>
      </w:r>
    </w:p>
    <w:p w14:paraId="120EE7A6">
      <w:pPr>
        <w:pStyle w:val="4"/>
        <w:jc w:val="left"/>
        <w:rPr>
          <w:highlight w:val="none"/>
        </w:rPr>
      </w:pPr>
      <w:r>
        <w:rPr>
          <w:rFonts w:ascii="仿宋_GB2312" w:hAnsi="仿宋_GB2312" w:eastAsia="仿宋_GB2312" w:cs="仿宋_GB2312"/>
          <w:highlight w:val="none"/>
        </w:rPr>
        <w:t xml:space="preserve"> 联系电话： 15960089357</w:t>
      </w:r>
    </w:p>
    <w:p w14:paraId="315C9827">
      <w:pPr>
        <w:pStyle w:val="4"/>
        <w:ind w:firstLine="480"/>
        <w:jc w:val="left"/>
        <w:outlineLvl w:val="2"/>
        <w:rPr>
          <w:highlight w:val="none"/>
        </w:rPr>
      </w:pPr>
      <w:r>
        <w:rPr>
          <w:rFonts w:ascii="仿宋_GB2312" w:hAnsi="仿宋_GB2312" w:eastAsia="仿宋_GB2312" w:cs="仿宋_GB2312"/>
          <w:b/>
          <w:sz w:val="28"/>
          <w:highlight w:val="none"/>
        </w:rPr>
        <w:t>12、代理机构：福建省公共资源交易中心</w:t>
      </w:r>
    </w:p>
    <w:p w14:paraId="3755B5A4">
      <w:pPr>
        <w:pStyle w:val="4"/>
        <w:ind w:firstLine="960"/>
        <w:jc w:val="both"/>
        <w:rPr>
          <w:highlight w:val="none"/>
        </w:rPr>
      </w:pPr>
      <w:r>
        <w:rPr>
          <w:rFonts w:ascii="仿宋_GB2312" w:hAnsi="仿宋_GB2312" w:eastAsia="仿宋_GB2312" w:cs="仿宋_GB2312"/>
          <w:highlight w:val="none"/>
        </w:rPr>
        <w:t xml:space="preserve"> 地址： 福州市鼓楼区华林路128号屏东写字楼</w:t>
      </w:r>
    </w:p>
    <w:p w14:paraId="6104ADF4">
      <w:pPr>
        <w:pStyle w:val="4"/>
        <w:jc w:val="both"/>
        <w:rPr>
          <w:highlight w:val="none"/>
        </w:rPr>
      </w:pPr>
      <w:r>
        <w:rPr>
          <w:rFonts w:ascii="仿宋_GB2312" w:hAnsi="仿宋_GB2312" w:eastAsia="仿宋_GB2312" w:cs="仿宋_GB2312"/>
          <w:highlight w:val="none"/>
        </w:rPr>
        <w:t xml:space="preserve"> 邮编： 350003</w:t>
      </w:r>
    </w:p>
    <w:p w14:paraId="17705E41">
      <w:pPr>
        <w:pStyle w:val="4"/>
        <w:jc w:val="both"/>
        <w:rPr>
          <w:highlight w:val="none"/>
        </w:rPr>
      </w:pPr>
      <w:r>
        <w:rPr>
          <w:rFonts w:ascii="仿宋_GB2312" w:hAnsi="仿宋_GB2312" w:eastAsia="仿宋_GB2312" w:cs="仿宋_GB2312"/>
          <w:highlight w:val="none"/>
        </w:rPr>
        <w:t xml:space="preserve"> 联系人： 黄先生</w:t>
      </w:r>
    </w:p>
    <w:p w14:paraId="4DECCA62">
      <w:pPr>
        <w:pStyle w:val="4"/>
        <w:jc w:val="both"/>
        <w:rPr>
          <w:highlight w:val="none"/>
        </w:rPr>
      </w:pPr>
      <w:r>
        <w:rPr>
          <w:rFonts w:ascii="仿宋_GB2312" w:hAnsi="仿宋_GB2312" w:eastAsia="仿宋_GB2312" w:cs="仿宋_GB2312"/>
          <w:highlight w:val="none"/>
        </w:rPr>
        <w:t xml:space="preserve"> 联系电话： 88390062</w:t>
      </w:r>
    </w:p>
    <w:p w14:paraId="3FC5C1B4">
      <w:pPr>
        <w:pStyle w:val="4"/>
        <w:ind w:firstLine="480"/>
        <w:jc w:val="both"/>
        <w:outlineLvl w:val="2"/>
        <w:rPr>
          <w:highlight w:val="none"/>
        </w:rPr>
      </w:pPr>
      <w:r>
        <w:rPr>
          <w:rFonts w:ascii="仿宋_GB2312" w:hAnsi="仿宋_GB2312" w:eastAsia="仿宋_GB2312" w:cs="仿宋_GB2312"/>
          <w:b/>
          <w:sz w:val="28"/>
          <w:highlight w:val="none"/>
        </w:rPr>
        <w:t>附1：账户信息</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06"/>
      </w:tblGrid>
      <w:tr w14:paraId="014E74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0902E7B8">
            <w:pPr>
              <w:pStyle w:val="4"/>
              <w:jc w:val="left"/>
              <w:rPr>
                <w:highlight w:val="none"/>
              </w:rPr>
            </w:pPr>
            <w:r>
              <w:rPr>
                <w:rFonts w:ascii="仿宋_GB2312" w:hAnsi="仿宋_GB2312" w:eastAsia="仿宋_GB2312" w:cs="仿宋_GB2312"/>
                <w:highlight w:val="none"/>
              </w:rPr>
              <w:t>投标保证金账户</w:t>
            </w:r>
          </w:p>
          <w:p w14:paraId="411B0152">
            <w:pPr>
              <w:pStyle w:val="4"/>
              <w:jc w:val="left"/>
              <w:rPr>
                <w:highlight w:val="none"/>
              </w:rPr>
            </w:pPr>
          </w:p>
        </w:tc>
      </w:tr>
      <w:tr w14:paraId="6EED21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6CD477C9">
            <w:pPr>
              <w:pStyle w:val="4"/>
              <w:jc w:val="left"/>
              <w:rPr>
                <w:highlight w:val="none"/>
              </w:rPr>
            </w:pPr>
            <w:r>
              <w:rPr>
                <w:rFonts w:ascii="仿宋_GB2312" w:hAnsi="仿宋_GB2312" w:eastAsia="仿宋_GB2312" w:cs="仿宋_GB2312"/>
                <w:highlight w:val="none"/>
              </w:rPr>
              <w:t>开户名称： 福建省公共资源交易中心</w:t>
            </w:r>
          </w:p>
        </w:tc>
      </w:tr>
      <w:tr w14:paraId="147A85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68E7635E">
            <w:pPr>
              <w:pStyle w:val="4"/>
              <w:jc w:val="left"/>
              <w:rPr>
                <w:highlight w:val="none"/>
              </w:rPr>
            </w:pPr>
            <w:r>
              <w:rPr>
                <w:rFonts w:ascii="仿宋_GB2312" w:hAnsi="仿宋_GB2312" w:eastAsia="仿宋_GB2312" w:cs="仿宋_GB2312"/>
                <w:highlight w:val="none"/>
              </w:rPr>
              <w:t>开户银行：供应商在福建省政府采购网上公开信息系统获取招标文件后，根据其提示自行选择要缴交的投标保证金托管银行。</w:t>
            </w:r>
          </w:p>
        </w:tc>
      </w:tr>
      <w:tr w14:paraId="49CFE2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6EBB9ECD">
            <w:pPr>
              <w:pStyle w:val="4"/>
              <w:jc w:val="left"/>
              <w:rPr>
                <w:highlight w:val="none"/>
              </w:rPr>
            </w:pPr>
            <w:r>
              <w:rPr>
                <w:rFonts w:ascii="仿宋_GB2312" w:hAnsi="仿宋_GB2312" w:eastAsia="仿宋_GB2312" w:cs="仿宋_GB2312"/>
                <w:highlight w:val="none"/>
              </w:rPr>
              <w:t>银行账号：福建省政府采购网上公开信息系统根据供应商选择的投标保证金托管银行自动生成供应商所投采购包的缴交银行账号（即多个采购包将对应生成多个缴交账号）。供应商应按照所投采购包的投标保证金要求，缴交相应的投标保证金。</w:t>
            </w:r>
          </w:p>
        </w:tc>
      </w:tr>
      <w:tr w14:paraId="4D84B5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79DB5BAB">
            <w:pPr>
              <w:pStyle w:val="4"/>
              <w:jc w:val="left"/>
              <w:rPr>
                <w:highlight w:val="none"/>
              </w:rPr>
            </w:pPr>
            <w:r>
              <w:rPr>
                <w:rFonts w:ascii="仿宋_GB2312" w:hAnsi="仿宋_GB2312" w:eastAsia="仿宋_GB2312" w:cs="仿宋_GB2312"/>
                <w:highlight w:val="none"/>
              </w:rPr>
              <w:t>特别提示</w:t>
            </w:r>
          </w:p>
        </w:tc>
      </w:tr>
      <w:tr w14:paraId="22C862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6B0D4771">
            <w:pPr>
              <w:pStyle w:val="4"/>
              <w:jc w:val="left"/>
              <w:rPr>
                <w:highlight w:val="none"/>
              </w:rPr>
            </w:pPr>
            <w:r>
              <w:rPr>
                <w:rFonts w:ascii="仿宋_GB2312" w:hAnsi="仿宋_GB2312" w:eastAsia="仿宋_GB2312" w:cs="仿宋_GB2312"/>
                <w:highlight w:val="none"/>
              </w:rPr>
              <w:t>1、投标人应认真核对账户信息，将投标保证金汇入以上账户，并自行承担因汇错投标保证金而产生的一切后果。</w:t>
            </w:r>
          </w:p>
          <w:p w14:paraId="57A6ABA9">
            <w:pPr>
              <w:pStyle w:val="4"/>
              <w:jc w:val="left"/>
              <w:rPr>
                <w:highlight w:val="none"/>
              </w:rPr>
            </w:pPr>
            <w:r>
              <w:rPr>
                <w:rFonts w:ascii="仿宋_GB2312" w:hAnsi="仿宋_GB2312" w:eastAsia="仿宋_GB2312" w:cs="仿宋_GB2312"/>
                <w:highlight w:val="none"/>
              </w:rPr>
              <w:t xml:space="preserve"> 2、投标人在转账或电汇的凭证上应按照以下格式注明，以便核对：“（项目编号：***）的投标保证金”。</w:t>
            </w:r>
          </w:p>
        </w:tc>
      </w:tr>
    </w:tbl>
    <w:p w14:paraId="76F92E9F">
      <w:pPr>
        <w:pStyle w:val="4"/>
        <w:ind w:firstLine="480"/>
        <w:jc w:val="both"/>
        <w:outlineLvl w:val="2"/>
        <w:rPr>
          <w:highlight w:val="none"/>
        </w:rPr>
      </w:pPr>
      <w:r>
        <w:rPr>
          <w:rFonts w:ascii="仿宋_GB2312" w:hAnsi="仿宋_GB2312" w:eastAsia="仿宋_GB2312" w:cs="仿宋_GB2312"/>
          <w:b/>
          <w:sz w:val="28"/>
          <w:highlight w:val="none"/>
        </w:rPr>
        <w:t>附2：采购标的一览表</w:t>
      </w:r>
    </w:p>
    <w:p w14:paraId="495C9F8B">
      <w:pPr>
        <w:pStyle w:val="4"/>
        <w:jc w:val="left"/>
        <w:rPr>
          <w:highlight w:val="none"/>
        </w:rPr>
      </w:pPr>
      <w:r>
        <w:rPr>
          <w:rFonts w:ascii="仿宋_GB2312" w:hAnsi="仿宋_GB2312" w:eastAsia="仿宋_GB2312" w:cs="仿宋_GB2312"/>
          <w:highlight w:val="none"/>
        </w:rPr>
        <w:t>采购包1：</w:t>
      </w:r>
    </w:p>
    <w:p w14:paraId="7F68B744">
      <w:pPr>
        <w:pStyle w:val="4"/>
        <w:jc w:val="left"/>
        <w:rPr>
          <w:highlight w:val="none"/>
        </w:rPr>
      </w:pPr>
      <w:r>
        <w:rPr>
          <w:rFonts w:ascii="仿宋_GB2312" w:hAnsi="仿宋_GB2312" w:eastAsia="仿宋_GB2312" w:cs="仿宋_GB2312"/>
          <w:highlight w:val="none"/>
        </w:rPr>
        <w:t>采购包预算金额（元）: 6,000,000.00</w:t>
      </w:r>
    </w:p>
    <w:p w14:paraId="0E18D950">
      <w:pPr>
        <w:pStyle w:val="4"/>
        <w:jc w:val="left"/>
        <w:rPr>
          <w:highlight w:val="none"/>
        </w:rPr>
      </w:pPr>
      <w:r>
        <w:rPr>
          <w:rFonts w:ascii="仿宋_GB2312" w:hAnsi="仿宋_GB2312" w:eastAsia="仿宋_GB2312" w:cs="仿宋_GB2312"/>
          <w:highlight w:val="none"/>
        </w:rPr>
        <w:t>采购包最高限价（元）: 6,000,000.00</w:t>
      </w:r>
    </w:p>
    <w:p w14:paraId="3A1F4903">
      <w:pPr>
        <w:pStyle w:val="4"/>
        <w:jc w:val="left"/>
        <w:rPr>
          <w:highlight w:val="none"/>
        </w:rPr>
      </w:pPr>
      <w:r>
        <w:rPr>
          <w:rFonts w:ascii="仿宋_GB2312" w:hAnsi="仿宋_GB2312" w:eastAsia="仿宋_GB2312" w:cs="仿宋_GB2312"/>
          <w:highlight w:val="none"/>
        </w:rPr>
        <w:t>采购包保证金金额（元）: 0.00</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4"/>
        <w:gridCol w:w="1184"/>
        <w:gridCol w:w="1185"/>
        <w:gridCol w:w="1416"/>
        <w:gridCol w:w="1184"/>
        <w:gridCol w:w="1184"/>
        <w:gridCol w:w="1185"/>
      </w:tblGrid>
      <w:tr w14:paraId="35D5F9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1D5CFD6A">
            <w:pPr>
              <w:pStyle w:val="4"/>
              <w:jc w:val="left"/>
              <w:rPr>
                <w:highlight w:val="none"/>
              </w:rPr>
            </w:pPr>
            <w:r>
              <w:rPr>
                <w:rFonts w:ascii="仿宋_GB2312" w:hAnsi="仿宋_GB2312" w:eastAsia="仿宋_GB2312" w:cs="仿宋_GB2312"/>
                <w:highlight w:val="none"/>
              </w:rPr>
              <w:t>序号</w:t>
            </w:r>
          </w:p>
        </w:tc>
        <w:tc>
          <w:tcPr>
            <w:tcW w:w="1187" w:type="dxa"/>
          </w:tcPr>
          <w:p w14:paraId="27F15B12">
            <w:pPr>
              <w:pStyle w:val="4"/>
              <w:jc w:val="left"/>
              <w:rPr>
                <w:highlight w:val="none"/>
              </w:rPr>
            </w:pPr>
            <w:r>
              <w:rPr>
                <w:rFonts w:ascii="仿宋_GB2312" w:hAnsi="仿宋_GB2312" w:eastAsia="仿宋_GB2312" w:cs="仿宋_GB2312"/>
                <w:highlight w:val="none"/>
              </w:rPr>
              <w:t>标的名称</w:t>
            </w:r>
          </w:p>
        </w:tc>
        <w:tc>
          <w:tcPr>
            <w:tcW w:w="1187" w:type="dxa"/>
          </w:tcPr>
          <w:p w14:paraId="47E7D5D3">
            <w:pPr>
              <w:pStyle w:val="4"/>
              <w:jc w:val="left"/>
              <w:rPr>
                <w:highlight w:val="none"/>
              </w:rPr>
            </w:pPr>
            <w:r>
              <w:rPr>
                <w:rFonts w:ascii="仿宋_GB2312" w:hAnsi="仿宋_GB2312" w:eastAsia="仿宋_GB2312" w:cs="仿宋_GB2312"/>
                <w:highlight w:val="none"/>
              </w:rPr>
              <w:t>数量</w:t>
            </w:r>
          </w:p>
        </w:tc>
        <w:tc>
          <w:tcPr>
            <w:tcW w:w="1187" w:type="dxa"/>
          </w:tcPr>
          <w:p w14:paraId="67DE30D5">
            <w:pPr>
              <w:pStyle w:val="4"/>
              <w:jc w:val="left"/>
              <w:rPr>
                <w:highlight w:val="none"/>
              </w:rPr>
            </w:pPr>
            <w:r>
              <w:rPr>
                <w:rFonts w:ascii="仿宋_GB2312" w:hAnsi="仿宋_GB2312" w:eastAsia="仿宋_GB2312" w:cs="仿宋_GB2312"/>
                <w:highlight w:val="none"/>
              </w:rPr>
              <w:t>标的金额 （元）</w:t>
            </w:r>
          </w:p>
        </w:tc>
        <w:tc>
          <w:tcPr>
            <w:tcW w:w="1187" w:type="dxa"/>
          </w:tcPr>
          <w:p w14:paraId="63DDD9B9">
            <w:pPr>
              <w:pStyle w:val="4"/>
              <w:jc w:val="left"/>
              <w:rPr>
                <w:highlight w:val="none"/>
              </w:rPr>
            </w:pPr>
            <w:r>
              <w:rPr>
                <w:rFonts w:ascii="仿宋_GB2312" w:hAnsi="仿宋_GB2312" w:eastAsia="仿宋_GB2312" w:cs="仿宋_GB2312"/>
                <w:highlight w:val="none"/>
              </w:rPr>
              <w:t>计量单位</w:t>
            </w:r>
          </w:p>
        </w:tc>
        <w:tc>
          <w:tcPr>
            <w:tcW w:w="1187" w:type="dxa"/>
          </w:tcPr>
          <w:p w14:paraId="4C06678E">
            <w:pPr>
              <w:pStyle w:val="4"/>
              <w:jc w:val="left"/>
              <w:rPr>
                <w:highlight w:val="none"/>
              </w:rPr>
            </w:pPr>
            <w:r>
              <w:rPr>
                <w:rFonts w:ascii="仿宋_GB2312" w:hAnsi="仿宋_GB2312" w:eastAsia="仿宋_GB2312" w:cs="仿宋_GB2312"/>
                <w:highlight w:val="none"/>
              </w:rPr>
              <w:t>所属行业</w:t>
            </w:r>
          </w:p>
        </w:tc>
        <w:tc>
          <w:tcPr>
            <w:tcW w:w="1187" w:type="dxa"/>
          </w:tcPr>
          <w:p w14:paraId="7DD90075">
            <w:pPr>
              <w:pStyle w:val="4"/>
              <w:jc w:val="left"/>
              <w:rPr>
                <w:highlight w:val="none"/>
              </w:rPr>
            </w:pPr>
            <w:r>
              <w:rPr>
                <w:rFonts w:ascii="仿宋_GB2312" w:hAnsi="仿宋_GB2312" w:eastAsia="仿宋_GB2312" w:cs="仿宋_GB2312"/>
                <w:highlight w:val="none"/>
              </w:rPr>
              <w:t>是否允许进口产品</w:t>
            </w:r>
          </w:p>
        </w:tc>
      </w:tr>
      <w:tr w14:paraId="5074F3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4DE052F3">
            <w:pPr>
              <w:pStyle w:val="4"/>
              <w:jc w:val="left"/>
              <w:rPr>
                <w:highlight w:val="none"/>
              </w:rPr>
            </w:pPr>
            <w:r>
              <w:rPr>
                <w:rFonts w:ascii="仿宋_GB2312" w:hAnsi="仿宋_GB2312" w:eastAsia="仿宋_GB2312" w:cs="仿宋_GB2312"/>
                <w:highlight w:val="none"/>
              </w:rPr>
              <w:t>1</w:t>
            </w:r>
          </w:p>
        </w:tc>
        <w:tc>
          <w:tcPr>
            <w:tcW w:w="1187" w:type="dxa"/>
          </w:tcPr>
          <w:p w14:paraId="2A976EFB">
            <w:pPr>
              <w:pStyle w:val="4"/>
              <w:jc w:val="left"/>
              <w:rPr>
                <w:highlight w:val="none"/>
              </w:rPr>
            </w:pPr>
            <w:r>
              <w:rPr>
                <w:rFonts w:ascii="仿宋_GB2312" w:hAnsi="仿宋_GB2312" w:eastAsia="仿宋_GB2312" w:cs="仿宋_GB2312"/>
                <w:highlight w:val="none"/>
              </w:rPr>
              <w:t>物业管理服务</w:t>
            </w:r>
          </w:p>
        </w:tc>
        <w:tc>
          <w:tcPr>
            <w:tcW w:w="1187" w:type="dxa"/>
          </w:tcPr>
          <w:p w14:paraId="4AE195A6">
            <w:pPr>
              <w:pStyle w:val="4"/>
              <w:jc w:val="right"/>
              <w:rPr>
                <w:highlight w:val="none"/>
              </w:rPr>
            </w:pPr>
            <w:r>
              <w:rPr>
                <w:rFonts w:ascii="仿宋_GB2312" w:hAnsi="仿宋_GB2312" w:eastAsia="仿宋_GB2312" w:cs="仿宋_GB2312"/>
                <w:highlight w:val="none"/>
              </w:rPr>
              <w:t>1.00</w:t>
            </w:r>
          </w:p>
        </w:tc>
        <w:tc>
          <w:tcPr>
            <w:tcW w:w="1187" w:type="dxa"/>
          </w:tcPr>
          <w:p w14:paraId="0A4CDD9C">
            <w:pPr>
              <w:pStyle w:val="4"/>
              <w:jc w:val="right"/>
              <w:rPr>
                <w:highlight w:val="none"/>
              </w:rPr>
            </w:pPr>
            <w:r>
              <w:rPr>
                <w:rFonts w:ascii="仿宋_GB2312" w:hAnsi="仿宋_GB2312" w:eastAsia="仿宋_GB2312" w:cs="仿宋_GB2312"/>
                <w:highlight w:val="none"/>
              </w:rPr>
              <w:t>6,000,000.00</w:t>
            </w:r>
          </w:p>
        </w:tc>
        <w:tc>
          <w:tcPr>
            <w:tcW w:w="1187" w:type="dxa"/>
          </w:tcPr>
          <w:p w14:paraId="0B50A818">
            <w:pPr>
              <w:pStyle w:val="4"/>
              <w:jc w:val="left"/>
              <w:rPr>
                <w:highlight w:val="none"/>
              </w:rPr>
            </w:pPr>
            <w:r>
              <w:rPr>
                <w:rFonts w:ascii="仿宋_GB2312" w:hAnsi="仿宋_GB2312" w:eastAsia="仿宋_GB2312" w:cs="仿宋_GB2312"/>
                <w:highlight w:val="none"/>
              </w:rPr>
              <w:t>年</w:t>
            </w:r>
          </w:p>
        </w:tc>
        <w:tc>
          <w:tcPr>
            <w:tcW w:w="1187" w:type="dxa"/>
          </w:tcPr>
          <w:p w14:paraId="7E4B5B7B">
            <w:pPr>
              <w:pStyle w:val="4"/>
              <w:jc w:val="left"/>
              <w:rPr>
                <w:highlight w:val="none"/>
              </w:rPr>
            </w:pPr>
            <w:r>
              <w:rPr>
                <w:rFonts w:ascii="仿宋_GB2312" w:hAnsi="仿宋_GB2312" w:eastAsia="仿宋_GB2312" w:cs="仿宋_GB2312"/>
                <w:highlight w:val="none"/>
              </w:rPr>
              <w:t>物业管理</w:t>
            </w:r>
          </w:p>
        </w:tc>
        <w:tc>
          <w:tcPr>
            <w:tcW w:w="1187" w:type="dxa"/>
          </w:tcPr>
          <w:p w14:paraId="4B8C4C5B">
            <w:pPr>
              <w:pStyle w:val="4"/>
              <w:jc w:val="left"/>
              <w:rPr>
                <w:highlight w:val="none"/>
              </w:rPr>
            </w:pPr>
            <w:r>
              <w:rPr>
                <w:rFonts w:ascii="仿宋_GB2312" w:hAnsi="仿宋_GB2312" w:eastAsia="仿宋_GB2312" w:cs="仿宋_GB2312"/>
                <w:highlight w:val="none"/>
              </w:rPr>
              <w:t>否</w:t>
            </w:r>
          </w:p>
        </w:tc>
      </w:tr>
    </w:tbl>
    <w:p w14:paraId="16BBF232">
      <w:pPr>
        <w:pStyle w:val="4"/>
        <w:jc w:val="left"/>
        <w:rPr>
          <w:highlight w:val="none"/>
        </w:rPr>
      </w:pPr>
      <w:r>
        <w:rPr>
          <w:rFonts w:ascii="仿宋_GB2312" w:hAnsi="仿宋_GB2312" w:eastAsia="仿宋_GB2312" w:cs="仿宋_GB2312"/>
          <w:highlight w:val="none"/>
        </w:rPr>
        <w:t>采购包1：</w:t>
      </w:r>
    </w:p>
    <w:p w14:paraId="7DCBE416">
      <w:pPr>
        <w:pStyle w:val="4"/>
        <w:jc w:val="left"/>
        <w:rPr>
          <w:highlight w:val="none"/>
        </w:rPr>
      </w:pPr>
      <w:r>
        <w:rPr>
          <w:rFonts w:ascii="仿宋_GB2312" w:hAnsi="仿宋_GB2312" w:eastAsia="仿宋_GB2312" w:cs="仿宋_GB2312"/>
          <w:highlight w:val="none"/>
        </w:rPr>
        <w:t>（1）报价要求：</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6"/>
        <w:gridCol w:w="3046"/>
        <w:gridCol w:w="554"/>
        <w:gridCol w:w="554"/>
        <w:gridCol w:w="1416"/>
        <w:gridCol w:w="1384"/>
        <w:gridCol w:w="1038"/>
      </w:tblGrid>
      <w:tr w14:paraId="761657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46" w:type="dxa"/>
          </w:tcPr>
          <w:p w14:paraId="4765FCD9">
            <w:pPr>
              <w:pStyle w:val="4"/>
              <w:jc w:val="left"/>
              <w:rPr>
                <w:highlight w:val="none"/>
              </w:rPr>
            </w:pPr>
            <w:r>
              <w:rPr>
                <w:rFonts w:ascii="仿宋_GB2312" w:hAnsi="仿宋_GB2312" w:eastAsia="仿宋_GB2312" w:cs="仿宋_GB2312"/>
                <w:highlight w:val="none"/>
              </w:rPr>
              <w:t>序号</w:t>
            </w:r>
          </w:p>
        </w:tc>
        <w:tc>
          <w:tcPr>
            <w:tcW w:w="3046" w:type="dxa"/>
          </w:tcPr>
          <w:p w14:paraId="3C3B8C1C">
            <w:pPr>
              <w:pStyle w:val="4"/>
              <w:jc w:val="left"/>
              <w:rPr>
                <w:highlight w:val="none"/>
              </w:rPr>
            </w:pPr>
            <w:r>
              <w:rPr>
                <w:rFonts w:ascii="仿宋_GB2312" w:hAnsi="仿宋_GB2312" w:eastAsia="仿宋_GB2312" w:cs="仿宋_GB2312"/>
                <w:highlight w:val="none"/>
              </w:rPr>
              <w:t>报价内容</w:t>
            </w:r>
          </w:p>
        </w:tc>
        <w:tc>
          <w:tcPr>
            <w:tcW w:w="554" w:type="dxa"/>
          </w:tcPr>
          <w:p w14:paraId="47712156">
            <w:pPr>
              <w:pStyle w:val="4"/>
              <w:jc w:val="left"/>
              <w:rPr>
                <w:highlight w:val="none"/>
              </w:rPr>
            </w:pPr>
            <w:r>
              <w:rPr>
                <w:rFonts w:ascii="仿宋_GB2312" w:hAnsi="仿宋_GB2312" w:eastAsia="仿宋_GB2312" w:cs="仿宋_GB2312"/>
                <w:highlight w:val="none"/>
              </w:rPr>
              <w:t>计量单位</w:t>
            </w:r>
          </w:p>
        </w:tc>
        <w:tc>
          <w:tcPr>
            <w:tcW w:w="554" w:type="dxa"/>
          </w:tcPr>
          <w:p w14:paraId="638F888D">
            <w:pPr>
              <w:pStyle w:val="4"/>
              <w:jc w:val="left"/>
              <w:rPr>
                <w:highlight w:val="none"/>
              </w:rPr>
            </w:pPr>
            <w:r>
              <w:rPr>
                <w:rFonts w:ascii="仿宋_GB2312" w:hAnsi="仿宋_GB2312" w:eastAsia="仿宋_GB2312" w:cs="仿宋_GB2312"/>
                <w:highlight w:val="none"/>
              </w:rPr>
              <w:t>报价单位</w:t>
            </w:r>
          </w:p>
        </w:tc>
        <w:tc>
          <w:tcPr>
            <w:tcW w:w="1384" w:type="dxa"/>
          </w:tcPr>
          <w:p w14:paraId="58241004">
            <w:pPr>
              <w:pStyle w:val="4"/>
              <w:jc w:val="left"/>
              <w:rPr>
                <w:highlight w:val="none"/>
              </w:rPr>
            </w:pPr>
            <w:r>
              <w:rPr>
                <w:rFonts w:ascii="仿宋_GB2312" w:hAnsi="仿宋_GB2312" w:eastAsia="仿宋_GB2312" w:cs="仿宋_GB2312"/>
                <w:highlight w:val="none"/>
              </w:rPr>
              <w:t>最高限价</w:t>
            </w:r>
          </w:p>
        </w:tc>
        <w:tc>
          <w:tcPr>
            <w:tcW w:w="1384" w:type="dxa"/>
          </w:tcPr>
          <w:p w14:paraId="18ED08E1">
            <w:pPr>
              <w:pStyle w:val="4"/>
              <w:jc w:val="left"/>
              <w:rPr>
                <w:highlight w:val="none"/>
              </w:rPr>
            </w:pPr>
            <w:r>
              <w:rPr>
                <w:rFonts w:ascii="仿宋_GB2312" w:hAnsi="仿宋_GB2312" w:eastAsia="仿宋_GB2312" w:cs="仿宋_GB2312"/>
                <w:highlight w:val="none"/>
              </w:rPr>
              <w:t>价款形式</w:t>
            </w:r>
          </w:p>
        </w:tc>
        <w:tc>
          <w:tcPr>
            <w:tcW w:w="1038" w:type="dxa"/>
          </w:tcPr>
          <w:p w14:paraId="56F38162">
            <w:pPr>
              <w:pStyle w:val="4"/>
              <w:jc w:val="left"/>
              <w:rPr>
                <w:highlight w:val="none"/>
              </w:rPr>
            </w:pPr>
            <w:r>
              <w:rPr>
                <w:rFonts w:ascii="仿宋_GB2312" w:hAnsi="仿宋_GB2312" w:eastAsia="仿宋_GB2312" w:cs="仿宋_GB2312"/>
                <w:highlight w:val="none"/>
              </w:rPr>
              <w:t>报价说明</w:t>
            </w:r>
          </w:p>
        </w:tc>
      </w:tr>
      <w:tr w14:paraId="16ED2E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46" w:type="dxa"/>
          </w:tcPr>
          <w:p w14:paraId="41BADC0B">
            <w:pPr>
              <w:pStyle w:val="4"/>
              <w:jc w:val="left"/>
              <w:rPr>
                <w:highlight w:val="none"/>
              </w:rPr>
            </w:pPr>
            <w:r>
              <w:rPr>
                <w:rFonts w:ascii="仿宋_GB2312" w:hAnsi="仿宋_GB2312" w:eastAsia="仿宋_GB2312" w:cs="仿宋_GB2312"/>
                <w:highlight w:val="none"/>
              </w:rPr>
              <w:t>1</w:t>
            </w:r>
          </w:p>
        </w:tc>
        <w:tc>
          <w:tcPr>
            <w:tcW w:w="3046" w:type="dxa"/>
          </w:tcPr>
          <w:p w14:paraId="3DF1AD57">
            <w:pPr>
              <w:pStyle w:val="4"/>
              <w:jc w:val="left"/>
              <w:rPr>
                <w:highlight w:val="none"/>
              </w:rPr>
            </w:pPr>
            <w:r>
              <w:rPr>
                <w:rFonts w:ascii="仿宋_GB2312" w:hAnsi="仿宋_GB2312" w:eastAsia="仿宋_GB2312" w:cs="仿宋_GB2312"/>
                <w:highlight w:val="none"/>
              </w:rPr>
              <w:t>物业管理服务</w:t>
            </w:r>
          </w:p>
        </w:tc>
        <w:tc>
          <w:tcPr>
            <w:tcW w:w="554" w:type="dxa"/>
          </w:tcPr>
          <w:p w14:paraId="04D1EE90">
            <w:pPr>
              <w:pStyle w:val="4"/>
              <w:jc w:val="left"/>
              <w:rPr>
                <w:highlight w:val="none"/>
              </w:rPr>
            </w:pPr>
            <w:r>
              <w:rPr>
                <w:rFonts w:ascii="仿宋_GB2312" w:hAnsi="仿宋_GB2312" w:eastAsia="仿宋_GB2312" w:cs="仿宋_GB2312"/>
                <w:highlight w:val="none"/>
              </w:rPr>
              <w:t>年</w:t>
            </w:r>
          </w:p>
        </w:tc>
        <w:tc>
          <w:tcPr>
            <w:tcW w:w="554" w:type="dxa"/>
          </w:tcPr>
          <w:p w14:paraId="18683E24">
            <w:pPr>
              <w:pStyle w:val="4"/>
              <w:jc w:val="left"/>
              <w:rPr>
                <w:highlight w:val="none"/>
              </w:rPr>
            </w:pPr>
            <w:r>
              <w:rPr>
                <w:rFonts w:ascii="仿宋_GB2312" w:hAnsi="仿宋_GB2312" w:eastAsia="仿宋_GB2312" w:cs="仿宋_GB2312"/>
                <w:highlight w:val="none"/>
              </w:rPr>
              <w:t>元</w:t>
            </w:r>
          </w:p>
        </w:tc>
        <w:tc>
          <w:tcPr>
            <w:tcW w:w="1384" w:type="dxa"/>
          </w:tcPr>
          <w:p w14:paraId="71B0C8B9">
            <w:pPr>
              <w:pStyle w:val="4"/>
              <w:jc w:val="right"/>
              <w:rPr>
                <w:highlight w:val="none"/>
              </w:rPr>
            </w:pPr>
            <w:r>
              <w:rPr>
                <w:rFonts w:ascii="仿宋_GB2312" w:hAnsi="仿宋_GB2312" w:eastAsia="仿宋_GB2312" w:cs="仿宋_GB2312"/>
                <w:highlight w:val="none"/>
              </w:rPr>
              <w:t>6,000,000.00</w:t>
            </w:r>
          </w:p>
        </w:tc>
        <w:tc>
          <w:tcPr>
            <w:tcW w:w="1384" w:type="dxa"/>
          </w:tcPr>
          <w:p w14:paraId="3676D1FB">
            <w:pPr>
              <w:pStyle w:val="4"/>
              <w:jc w:val="left"/>
              <w:rPr>
                <w:highlight w:val="none"/>
              </w:rPr>
            </w:pPr>
            <w:r>
              <w:rPr>
                <w:rFonts w:ascii="仿宋_GB2312" w:hAnsi="仿宋_GB2312" w:eastAsia="仿宋_GB2312" w:cs="仿宋_GB2312"/>
                <w:highlight w:val="none"/>
              </w:rPr>
              <w:t>总价</w:t>
            </w:r>
          </w:p>
        </w:tc>
        <w:tc>
          <w:tcPr>
            <w:tcW w:w="1038" w:type="dxa"/>
          </w:tcPr>
          <w:p w14:paraId="3D36FEA3">
            <w:pPr>
              <w:pStyle w:val="4"/>
              <w:jc w:val="left"/>
              <w:rPr>
                <w:highlight w:val="none"/>
              </w:rPr>
            </w:pPr>
            <w:r>
              <w:rPr>
                <w:rFonts w:ascii="仿宋_GB2312" w:hAnsi="仿宋_GB2312" w:eastAsia="仿宋_GB2312" w:cs="仿宋_GB2312"/>
                <w:highlight w:val="none"/>
              </w:rPr>
              <w:t>无</w:t>
            </w:r>
          </w:p>
        </w:tc>
      </w:tr>
    </w:tbl>
    <w:p w14:paraId="707B5FC2">
      <w:pPr>
        <w:pStyle w:val="4"/>
        <w:jc w:val="left"/>
        <w:rPr>
          <w:highlight w:val="none"/>
        </w:rPr>
      </w:pPr>
      <w:r>
        <w:rPr>
          <w:rFonts w:ascii="仿宋_GB2312" w:hAnsi="仿宋_GB2312" w:eastAsia="仿宋_GB2312" w:cs="仿宋_GB2312"/>
          <w:highlight w:val="none"/>
        </w:rPr>
        <w:t>（2）报价明细要求：</w:t>
      </w:r>
    </w:p>
    <w:p w14:paraId="7660BEAB">
      <w:pPr>
        <w:pStyle w:val="4"/>
        <w:jc w:val="left"/>
        <w:rPr>
          <w:highlight w:val="none"/>
        </w:rPr>
      </w:pPr>
      <w:r>
        <w:rPr>
          <w:rFonts w:ascii="仿宋_GB2312" w:hAnsi="仿宋_GB2312" w:eastAsia="仿宋_GB2312" w:cs="仿宋_GB2312"/>
          <w:highlight w:val="none"/>
        </w:rPr>
        <w:t>物业管理服务</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6"/>
        <w:gridCol w:w="1941"/>
        <w:gridCol w:w="1941"/>
        <w:gridCol w:w="416"/>
        <w:gridCol w:w="416"/>
        <w:gridCol w:w="1416"/>
        <w:gridCol w:w="797"/>
        <w:gridCol w:w="1179"/>
      </w:tblGrid>
      <w:tr w14:paraId="33593E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 w:type="dxa"/>
          </w:tcPr>
          <w:p w14:paraId="73032500">
            <w:pPr>
              <w:pStyle w:val="4"/>
              <w:jc w:val="left"/>
              <w:rPr>
                <w:highlight w:val="none"/>
              </w:rPr>
            </w:pPr>
            <w:r>
              <w:rPr>
                <w:rFonts w:ascii="仿宋_GB2312" w:hAnsi="仿宋_GB2312" w:eastAsia="仿宋_GB2312" w:cs="仿宋_GB2312"/>
                <w:highlight w:val="none"/>
              </w:rPr>
              <w:t>序号</w:t>
            </w:r>
          </w:p>
        </w:tc>
        <w:tc>
          <w:tcPr>
            <w:tcW w:w="2076" w:type="dxa"/>
          </w:tcPr>
          <w:p w14:paraId="573B1F7A">
            <w:pPr>
              <w:pStyle w:val="4"/>
              <w:jc w:val="left"/>
              <w:rPr>
                <w:highlight w:val="none"/>
              </w:rPr>
            </w:pPr>
            <w:r>
              <w:rPr>
                <w:rFonts w:ascii="仿宋_GB2312" w:hAnsi="仿宋_GB2312" w:eastAsia="仿宋_GB2312" w:cs="仿宋_GB2312"/>
                <w:highlight w:val="none"/>
              </w:rPr>
              <w:t>报价明细内容</w:t>
            </w:r>
          </w:p>
        </w:tc>
        <w:tc>
          <w:tcPr>
            <w:tcW w:w="2076" w:type="dxa"/>
          </w:tcPr>
          <w:p w14:paraId="6C673FC1">
            <w:pPr>
              <w:pStyle w:val="4"/>
              <w:jc w:val="left"/>
              <w:rPr>
                <w:highlight w:val="none"/>
              </w:rPr>
            </w:pPr>
            <w:r>
              <w:rPr>
                <w:rFonts w:ascii="仿宋_GB2312" w:hAnsi="仿宋_GB2312" w:eastAsia="仿宋_GB2312" w:cs="仿宋_GB2312"/>
                <w:highlight w:val="none"/>
              </w:rPr>
              <w:t>报价要求</w:t>
            </w:r>
          </w:p>
        </w:tc>
        <w:tc>
          <w:tcPr>
            <w:tcW w:w="415" w:type="dxa"/>
          </w:tcPr>
          <w:p w14:paraId="2D5A8782">
            <w:pPr>
              <w:pStyle w:val="4"/>
              <w:jc w:val="left"/>
              <w:rPr>
                <w:highlight w:val="none"/>
              </w:rPr>
            </w:pPr>
            <w:r>
              <w:rPr>
                <w:rFonts w:ascii="仿宋_GB2312" w:hAnsi="仿宋_GB2312" w:eastAsia="仿宋_GB2312" w:cs="仿宋_GB2312"/>
                <w:highlight w:val="none"/>
              </w:rPr>
              <w:t>计量单位</w:t>
            </w:r>
          </w:p>
        </w:tc>
        <w:tc>
          <w:tcPr>
            <w:tcW w:w="415" w:type="dxa"/>
          </w:tcPr>
          <w:p w14:paraId="6AF212BD">
            <w:pPr>
              <w:pStyle w:val="4"/>
              <w:jc w:val="left"/>
              <w:rPr>
                <w:highlight w:val="none"/>
              </w:rPr>
            </w:pPr>
            <w:r>
              <w:rPr>
                <w:rFonts w:ascii="仿宋_GB2312" w:hAnsi="仿宋_GB2312" w:eastAsia="仿宋_GB2312" w:cs="仿宋_GB2312"/>
                <w:highlight w:val="none"/>
              </w:rPr>
              <w:t>报价单位</w:t>
            </w:r>
          </w:p>
        </w:tc>
        <w:tc>
          <w:tcPr>
            <w:tcW w:w="831" w:type="dxa"/>
          </w:tcPr>
          <w:p w14:paraId="6C14EE5E">
            <w:pPr>
              <w:pStyle w:val="4"/>
              <w:jc w:val="left"/>
              <w:rPr>
                <w:highlight w:val="none"/>
              </w:rPr>
            </w:pPr>
            <w:r>
              <w:rPr>
                <w:rFonts w:ascii="仿宋_GB2312" w:hAnsi="仿宋_GB2312" w:eastAsia="仿宋_GB2312" w:cs="仿宋_GB2312"/>
                <w:highlight w:val="none"/>
              </w:rPr>
              <w:t>最高限价</w:t>
            </w:r>
          </w:p>
        </w:tc>
        <w:tc>
          <w:tcPr>
            <w:tcW w:w="831" w:type="dxa"/>
          </w:tcPr>
          <w:p w14:paraId="69DE37AD">
            <w:pPr>
              <w:pStyle w:val="4"/>
              <w:jc w:val="left"/>
              <w:rPr>
                <w:highlight w:val="none"/>
              </w:rPr>
            </w:pPr>
            <w:r>
              <w:rPr>
                <w:rFonts w:ascii="仿宋_GB2312" w:hAnsi="仿宋_GB2312" w:eastAsia="仿宋_GB2312" w:cs="仿宋_GB2312"/>
                <w:highlight w:val="none"/>
              </w:rPr>
              <w:t>价款形式</w:t>
            </w:r>
          </w:p>
        </w:tc>
        <w:tc>
          <w:tcPr>
            <w:tcW w:w="1246" w:type="dxa"/>
          </w:tcPr>
          <w:p w14:paraId="38E91375">
            <w:pPr>
              <w:pStyle w:val="4"/>
              <w:jc w:val="left"/>
              <w:rPr>
                <w:highlight w:val="none"/>
              </w:rPr>
            </w:pPr>
            <w:r>
              <w:rPr>
                <w:rFonts w:ascii="仿宋_GB2312" w:hAnsi="仿宋_GB2312" w:eastAsia="仿宋_GB2312" w:cs="仿宋_GB2312"/>
                <w:highlight w:val="none"/>
              </w:rPr>
              <w:t>报价说明</w:t>
            </w:r>
          </w:p>
        </w:tc>
      </w:tr>
      <w:tr w14:paraId="2954E1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 w:type="dxa"/>
          </w:tcPr>
          <w:p w14:paraId="36D51B07">
            <w:pPr>
              <w:pStyle w:val="4"/>
              <w:jc w:val="left"/>
              <w:rPr>
                <w:highlight w:val="none"/>
              </w:rPr>
            </w:pPr>
            <w:r>
              <w:rPr>
                <w:rFonts w:ascii="仿宋_GB2312" w:hAnsi="仿宋_GB2312" w:eastAsia="仿宋_GB2312" w:cs="仿宋_GB2312"/>
                <w:highlight w:val="none"/>
              </w:rPr>
              <w:t>1</w:t>
            </w:r>
          </w:p>
        </w:tc>
        <w:tc>
          <w:tcPr>
            <w:tcW w:w="2076" w:type="dxa"/>
          </w:tcPr>
          <w:p w14:paraId="51974116">
            <w:pPr>
              <w:pStyle w:val="4"/>
              <w:jc w:val="left"/>
              <w:rPr>
                <w:highlight w:val="none"/>
              </w:rPr>
            </w:pPr>
            <w:r>
              <w:rPr>
                <w:rFonts w:ascii="仿宋_GB2312" w:hAnsi="仿宋_GB2312" w:eastAsia="仿宋_GB2312" w:cs="仿宋_GB2312"/>
                <w:highlight w:val="none"/>
              </w:rPr>
              <w:t>物业管理服务</w:t>
            </w:r>
          </w:p>
        </w:tc>
        <w:tc>
          <w:tcPr>
            <w:tcW w:w="2076" w:type="dxa"/>
          </w:tcPr>
          <w:p w14:paraId="035095E3">
            <w:pPr>
              <w:pStyle w:val="4"/>
              <w:jc w:val="left"/>
              <w:rPr>
                <w:highlight w:val="none"/>
              </w:rPr>
            </w:pPr>
            <w:r>
              <w:rPr>
                <w:rFonts w:ascii="仿宋_GB2312" w:hAnsi="仿宋_GB2312" w:eastAsia="仿宋_GB2312" w:cs="仿宋_GB2312"/>
                <w:highlight w:val="none"/>
              </w:rPr>
              <w:t>物业管理服务</w:t>
            </w:r>
          </w:p>
        </w:tc>
        <w:tc>
          <w:tcPr>
            <w:tcW w:w="415" w:type="dxa"/>
          </w:tcPr>
          <w:p w14:paraId="3F995B16">
            <w:pPr>
              <w:pStyle w:val="4"/>
              <w:jc w:val="left"/>
              <w:rPr>
                <w:highlight w:val="none"/>
              </w:rPr>
            </w:pPr>
            <w:r>
              <w:rPr>
                <w:rFonts w:ascii="仿宋_GB2312" w:hAnsi="仿宋_GB2312" w:eastAsia="仿宋_GB2312" w:cs="仿宋_GB2312"/>
                <w:highlight w:val="none"/>
              </w:rPr>
              <w:t>年</w:t>
            </w:r>
          </w:p>
        </w:tc>
        <w:tc>
          <w:tcPr>
            <w:tcW w:w="415" w:type="dxa"/>
          </w:tcPr>
          <w:p w14:paraId="7DF3B85A">
            <w:pPr>
              <w:pStyle w:val="4"/>
              <w:jc w:val="left"/>
              <w:rPr>
                <w:highlight w:val="none"/>
              </w:rPr>
            </w:pPr>
            <w:r>
              <w:rPr>
                <w:rFonts w:ascii="仿宋_GB2312" w:hAnsi="仿宋_GB2312" w:eastAsia="仿宋_GB2312" w:cs="仿宋_GB2312"/>
                <w:highlight w:val="none"/>
              </w:rPr>
              <w:t>元</w:t>
            </w:r>
          </w:p>
        </w:tc>
        <w:tc>
          <w:tcPr>
            <w:tcW w:w="831" w:type="dxa"/>
          </w:tcPr>
          <w:p w14:paraId="22B5B20D">
            <w:pPr>
              <w:pStyle w:val="4"/>
              <w:jc w:val="right"/>
              <w:rPr>
                <w:highlight w:val="none"/>
              </w:rPr>
            </w:pPr>
            <w:r>
              <w:rPr>
                <w:rFonts w:ascii="仿宋_GB2312" w:hAnsi="仿宋_GB2312" w:eastAsia="仿宋_GB2312" w:cs="仿宋_GB2312"/>
                <w:highlight w:val="none"/>
              </w:rPr>
              <w:t>6,000,000.00</w:t>
            </w:r>
          </w:p>
        </w:tc>
        <w:tc>
          <w:tcPr>
            <w:tcW w:w="831" w:type="dxa"/>
          </w:tcPr>
          <w:p w14:paraId="5D9CB337">
            <w:pPr>
              <w:pStyle w:val="4"/>
              <w:jc w:val="left"/>
              <w:rPr>
                <w:highlight w:val="none"/>
              </w:rPr>
            </w:pPr>
            <w:r>
              <w:rPr>
                <w:rFonts w:ascii="仿宋_GB2312" w:hAnsi="仿宋_GB2312" w:eastAsia="仿宋_GB2312" w:cs="仿宋_GB2312"/>
                <w:highlight w:val="none"/>
              </w:rPr>
              <w:t>总价</w:t>
            </w:r>
          </w:p>
        </w:tc>
        <w:tc>
          <w:tcPr>
            <w:tcW w:w="1246" w:type="dxa"/>
          </w:tcPr>
          <w:p w14:paraId="5167F2B9">
            <w:pPr>
              <w:pStyle w:val="4"/>
              <w:jc w:val="left"/>
              <w:rPr>
                <w:highlight w:val="none"/>
              </w:rPr>
            </w:pPr>
            <w:r>
              <w:rPr>
                <w:rFonts w:ascii="仿宋_GB2312" w:hAnsi="仿宋_GB2312" w:eastAsia="仿宋_GB2312" w:cs="仿宋_GB2312"/>
                <w:highlight w:val="none"/>
              </w:rPr>
              <w:t>无</w:t>
            </w:r>
          </w:p>
        </w:tc>
      </w:tr>
    </w:tbl>
    <w:p w14:paraId="2BE192BE">
      <w:pPr>
        <w:pStyle w:val="4"/>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55095AF6">
      <w:pPr>
        <w:pStyle w:val="4"/>
        <w:jc w:val="center"/>
        <w:outlineLvl w:val="1"/>
        <w:rPr>
          <w:highlight w:val="none"/>
        </w:rPr>
      </w:pPr>
      <w:r>
        <w:rPr>
          <w:rFonts w:ascii="仿宋_GB2312" w:hAnsi="仿宋_GB2312" w:eastAsia="仿宋_GB2312" w:cs="仿宋_GB2312"/>
          <w:b/>
          <w:sz w:val="36"/>
          <w:highlight w:val="none"/>
        </w:rPr>
        <w:t>第二章 投标人须知前附表</w:t>
      </w:r>
    </w:p>
    <w:p w14:paraId="4671C1B3">
      <w:pPr>
        <w:pStyle w:val="4"/>
        <w:ind w:firstLine="480"/>
        <w:jc w:val="both"/>
        <w:outlineLvl w:val="2"/>
        <w:rPr>
          <w:highlight w:val="none"/>
        </w:rPr>
      </w:pPr>
      <w:r>
        <w:rPr>
          <w:rFonts w:ascii="仿宋_GB2312" w:hAnsi="仿宋_GB2312" w:eastAsia="仿宋_GB2312" w:cs="仿宋_GB2312"/>
          <w:b/>
          <w:sz w:val="28"/>
          <w:highlight w:val="none"/>
        </w:rPr>
        <w:t>一、投标人须知前附表1</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61"/>
        <w:gridCol w:w="1400"/>
        <w:gridCol w:w="5946"/>
      </w:tblGrid>
      <w:tr w14:paraId="2EF47E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7" w:type="dxa"/>
            <w:gridSpan w:val="3"/>
          </w:tcPr>
          <w:p w14:paraId="1118A5B2">
            <w:pPr>
              <w:pStyle w:val="4"/>
              <w:jc w:val="left"/>
              <w:rPr>
                <w:highlight w:val="none"/>
              </w:rPr>
            </w:pPr>
            <w:r>
              <w:rPr>
                <w:rFonts w:ascii="仿宋_GB2312" w:hAnsi="仿宋_GB2312" w:eastAsia="仿宋_GB2312" w:cs="仿宋_GB2312"/>
                <w:highlight w:val="none"/>
              </w:rPr>
              <w:t>特别提示：本表与招标文件对应章节的内容若不一致，以本表为准。</w:t>
            </w:r>
          </w:p>
        </w:tc>
      </w:tr>
      <w:tr w14:paraId="00AD68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1" w:type="dxa"/>
          </w:tcPr>
          <w:p w14:paraId="24609D28">
            <w:pPr>
              <w:pStyle w:val="4"/>
              <w:jc w:val="left"/>
              <w:rPr>
                <w:highlight w:val="none"/>
              </w:rPr>
            </w:pPr>
            <w:r>
              <w:rPr>
                <w:rFonts w:ascii="仿宋_GB2312" w:hAnsi="仿宋_GB2312" w:eastAsia="仿宋_GB2312" w:cs="仿宋_GB2312"/>
                <w:highlight w:val="none"/>
              </w:rPr>
              <w:t>序号</w:t>
            </w:r>
          </w:p>
        </w:tc>
        <w:tc>
          <w:tcPr>
            <w:tcW w:w="1400" w:type="dxa"/>
          </w:tcPr>
          <w:p w14:paraId="742C70F6">
            <w:pPr>
              <w:pStyle w:val="4"/>
              <w:jc w:val="left"/>
              <w:rPr>
                <w:highlight w:val="none"/>
              </w:rPr>
            </w:pPr>
            <w:r>
              <w:rPr>
                <w:rFonts w:ascii="仿宋_GB2312" w:hAnsi="仿宋_GB2312" w:eastAsia="仿宋_GB2312" w:cs="仿宋_GB2312"/>
                <w:highlight w:val="none"/>
              </w:rPr>
              <w:t>招标文件</w:t>
            </w:r>
          </w:p>
          <w:p w14:paraId="115C7C30">
            <w:pPr>
              <w:pStyle w:val="4"/>
              <w:jc w:val="left"/>
              <w:rPr>
                <w:highlight w:val="none"/>
              </w:rPr>
            </w:pPr>
            <w:r>
              <w:rPr>
                <w:rFonts w:ascii="仿宋_GB2312" w:hAnsi="仿宋_GB2312" w:eastAsia="仿宋_GB2312" w:cs="仿宋_GB2312"/>
                <w:highlight w:val="none"/>
              </w:rPr>
              <w:t xml:space="preserve"> （第三章）</w:t>
            </w:r>
          </w:p>
        </w:tc>
        <w:tc>
          <w:tcPr>
            <w:tcW w:w="5946" w:type="dxa"/>
          </w:tcPr>
          <w:p w14:paraId="281D79C1">
            <w:pPr>
              <w:pStyle w:val="4"/>
              <w:jc w:val="left"/>
              <w:rPr>
                <w:highlight w:val="none"/>
              </w:rPr>
            </w:pPr>
            <w:r>
              <w:rPr>
                <w:rFonts w:ascii="仿宋_GB2312" w:hAnsi="仿宋_GB2312" w:eastAsia="仿宋_GB2312" w:cs="仿宋_GB2312"/>
                <w:highlight w:val="none"/>
              </w:rPr>
              <w:t>编列内容</w:t>
            </w:r>
          </w:p>
        </w:tc>
      </w:tr>
      <w:tr w14:paraId="1BDA8E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1" w:type="dxa"/>
          </w:tcPr>
          <w:p w14:paraId="30247243">
            <w:pPr>
              <w:pStyle w:val="4"/>
              <w:jc w:val="left"/>
              <w:rPr>
                <w:highlight w:val="none"/>
              </w:rPr>
            </w:pPr>
            <w:r>
              <w:rPr>
                <w:rFonts w:ascii="仿宋_GB2312" w:hAnsi="仿宋_GB2312" w:eastAsia="仿宋_GB2312" w:cs="仿宋_GB2312"/>
                <w:highlight w:val="none"/>
              </w:rPr>
              <w:t>1</w:t>
            </w:r>
          </w:p>
        </w:tc>
        <w:tc>
          <w:tcPr>
            <w:tcW w:w="1400" w:type="dxa"/>
          </w:tcPr>
          <w:p w14:paraId="50151975">
            <w:pPr>
              <w:pStyle w:val="4"/>
              <w:jc w:val="left"/>
              <w:rPr>
                <w:highlight w:val="none"/>
              </w:rPr>
            </w:pPr>
            <w:r>
              <w:rPr>
                <w:rFonts w:ascii="仿宋_GB2312" w:hAnsi="仿宋_GB2312" w:eastAsia="仿宋_GB2312" w:cs="仿宋_GB2312"/>
                <w:highlight w:val="none"/>
              </w:rPr>
              <w:t>6.1</w:t>
            </w:r>
          </w:p>
        </w:tc>
        <w:tc>
          <w:tcPr>
            <w:tcW w:w="5946" w:type="dxa"/>
          </w:tcPr>
          <w:p w14:paraId="6B7B8A9C">
            <w:pPr>
              <w:pStyle w:val="4"/>
              <w:jc w:val="left"/>
              <w:rPr>
                <w:highlight w:val="none"/>
              </w:rPr>
            </w:pPr>
            <w:r>
              <w:rPr>
                <w:rFonts w:ascii="仿宋_GB2312" w:hAnsi="仿宋_GB2312" w:eastAsia="仿宋_GB2312" w:cs="仿宋_GB2312"/>
                <w:highlight w:val="none"/>
              </w:rPr>
              <w:t>是否组织现场考察或召开开标前答疑会：</w:t>
            </w:r>
          </w:p>
          <w:p w14:paraId="2EE71974">
            <w:pPr>
              <w:pStyle w:val="4"/>
              <w:jc w:val="left"/>
              <w:rPr>
                <w:highlight w:val="none"/>
              </w:rPr>
            </w:pPr>
            <w:r>
              <w:rPr>
                <w:rFonts w:ascii="仿宋_GB2312" w:hAnsi="仿宋_GB2312" w:eastAsia="仿宋_GB2312" w:cs="仿宋_GB2312"/>
                <w:highlight w:val="none"/>
              </w:rPr>
              <w:t>采购包1：不组织</w:t>
            </w:r>
          </w:p>
        </w:tc>
      </w:tr>
      <w:tr w14:paraId="318380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1" w:type="dxa"/>
          </w:tcPr>
          <w:p w14:paraId="27EB945C">
            <w:pPr>
              <w:pStyle w:val="4"/>
              <w:jc w:val="left"/>
              <w:rPr>
                <w:highlight w:val="none"/>
              </w:rPr>
            </w:pPr>
            <w:r>
              <w:rPr>
                <w:rFonts w:ascii="仿宋_GB2312" w:hAnsi="仿宋_GB2312" w:eastAsia="仿宋_GB2312" w:cs="仿宋_GB2312"/>
                <w:highlight w:val="none"/>
              </w:rPr>
              <w:t>2</w:t>
            </w:r>
          </w:p>
        </w:tc>
        <w:tc>
          <w:tcPr>
            <w:tcW w:w="1400" w:type="dxa"/>
          </w:tcPr>
          <w:p w14:paraId="2743A99B">
            <w:pPr>
              <w:pStyle w:val="4"/>
              <w:jc w:val="left"/>
              <w:rPr>
                <w:highlight w:val="none"/>
              </w:rPr>
            </w:pPr>
            <w:r>
              <w:rPr>
                <w:rFonts w:ascii="仿宋_GB2312" w:hAnsi="仿宋_GB2312" w:eastAsia="仿宋_GB2312" w:cs="仿宋_GB2312"/>
                <w:highlight w:val="none"/>
              </w:rPr>
              <w:t>10.4</w:t>
            </w:r>
          </w:p>
        </w:tc>
        <w:tc>
          <w:tcPr>
            <w:tcW w:w="5946" w:type="dxa"/>
          </w:tcPr>
          <w:p w14:paraId="1612EC43">
            <w:pPr>
              <w:pStyle w:val="4"/>
              <w:jc w:val="left"/>
              <w:rPr>
                <w:highlight w:val="none"/>
              </w:rPr>
            </w:pPr>
            <w:r>
              <w:rPr>
                <w:rFonts w:ascii="仿宋_GB2312" w:hAnsi="仿宋_GB2312" w:eastAsia="仿宋_GB2312" w:cs="仿宋_GB2312"/>
                <w:highlight w:val="none"/>
              </w:rPr>
              <w:t>投标文件的份数：</w:t>
            </w:r>
          </w:p>
          <w:p w14:paraId="760CFCEB">
            <w:pPr>
              <w:pStyle w:val="4"/>
              <w:jc w:val="left"/>
              <w:rPr>
                <w:highlight w:val="none"/>
              </w:rPr>
            </w:pPr>
            <w:r>
              <w:rPr>
                <w:rFonts w:ascii="仿宋_GB2312" w:hAnsi="仿宋_GB2312" w:eastAsia="仿宋_GB2312" w:cs="仿宋_GB2312"/>
                <w:highlight w:val="none"/>
              </w:rPr>
              <w:t xml:space="preserve"> （1）可读介质（光盘或U盘） 0 份：投标人应将其上传至福建省政府采购网上公开信息系统的电子投标文件在该可读介质中另存 0 份。</w:t>
            </w:r>
          </w:p>
          <w:p w14:paraId="4C5E7A71">
            <w:pPr>
              <w:pStyle w:val="4"/>
              <w:jc w:val="left"/>
              <w:rPr>
                <w:highlight w:val="none"/>
              </w:rPr>
            </w:pPr>
            <w:r>
              <w:rPr>
                <w:rFonts w:ascii="仿宋_GB2312" w:hAnsi="仿宋_GB2312" w:eastAsia="仿宋_GB2312" w:cs="仿宋_GB2312"/>
                <w:highlight w:val="none"/>
              </w:rPr>
              <w:t xml:space="preserve"> （2）电子投标文件：详见投标人须知前附表2《关于电子招标投标活动的专门规定》。</w:t>
            </w:r>
          </w:p>
        </w:tc>
      </w:tr>
      <w:tr w14:paraId="12768B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1" w:type="dxa"/>
          </w:tcPr>
          <w:p w14:paraId="7D5F5DB5">
            <w:pPr>
              <w:pStyle w:val="4"/>
              <w:jc w:val="left"/>
              <w:rPr>
                <w:highlight w:val="none"/>
              </w:rPr>
            </w:pPr>
            <w:r>
              <w:rPr>
                <w:rFonts w:ascii="仿宋_GB2312" w:hAnsi="仿宋_GB2312" w:eastAsia="仿宋_GB2312" w:cs="仿宋_GB2312"/>
                <w:highlight w:val="none"/>
              </w:rPr>
              <w:t>3</w:t>
            </w:r>
          </w:p>
        </w:tc>
        <w:tc>
          <w:tcPr>
            <w:tcW w:w="1400" w:type="dxa"/>
          </w:tcPr>
          <w:p w14:paraId="323ECCAE">
            <w:pPr>
              <w:pStyle w:val="4"/>
              <w:jc w:val="left"/>
              <w:rPr>
                <w:highlight w:val="none"/>
              </w:rPr>
            </w:pPr>
            <w:r>
              <w:rPr>
                <w:rFonts w:ascii="仿宋_GB2312" w:hAnsi="仿宋_GB2312" w:eastAsia="仿宋_GB2312" w:cs="仿宋_GB2312"/>
                <w:highlight w:val="none"/>
              </w:rPr>
              <w:t>10.7-（1）</w:t>
            </w:r>
          </w:p>
        </w:tc>
        <w:tc>
          <w:tcPr>
            <w:tcW w:w="5946" w:type="dxa"/>
          </w:tcPr>
          <w:p w14:paraId="65F99CF2">
            <w:pPr>
              <w:pStyle w:val="4"/>
              <w:jc w:val="left"/>
              <w:rPr>
                <w:highlight w:val="none"/>
              </w:rPr>
            </w:pPr>
            <w:r>
              <w:rPr>
                <w:rFonts w:ascii="仿宋_GB2312" w:hAnsi="仿宋_GB2312" w:eastAsia="仿宋_GB2312" w:cs="仿宋_GB2312"/>
                <w:highlight w:val="none"/>
              </w:rPr>
              <w:t>是否允许中标人将本项目的非主体、非关键性工作进行分包：</w:t>
            </w:r>
          </w:p>
          <w:p w14:paraId="58DA278D">
            <w:pPr>
              <w:pStyle w:val="4"/>
              <w:jc w:val="left"/>
              <w:rPr>
                <w:highlight w:val="none"/>
              </w:rPr>
            </w:pPr>
            <w:r>
              <w:rPr>
                <w:rFonts w:ascii="仿宋_GB2312" w:hAnsi="仿宋_GB2312" w:eastAsia="仿宋_GB2312" w:cs="仿宋_GB2312"/>
                <w:highlight w:val="none"/>
              </w:rPr>
              <w:t>采购包1：不允许合同分包；</w:t>
            </w:r>
          </w:p>
        </w:tc>
      </w:tr>
      <w:tr w14:paraId="0CA91D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1" w:type="dxa"/>
          </w:tcPr>
          <w:p w14:paraId="5ABD6ACD">
            <w:pPr>
              <w:pStyle w:val="4"/>
              <w:jc w:val="left"/>
              <w:rPr>
                <w:highlight w:val="none"/>
              </w:rPr>
            </w:pPr>
            <w:r>
              <w:rPr>
                <w:rFonts w:ascii="仿宋_GB2312" w:hAnsi="仿宋_GB2312" w:eastAsia="仿宋_GB2312" w:cs="仿宋_GB2312"/>
                <w:highlight w:val="none"/>
              </w:rPr>
              <w:t>4</w:t>
            </w:r>
          </w:p>
        </w:tc>
        <w:tc>
          <w:tcPr>
            <w:tcW w:w="1400" w:type="dxa"/>
          </w:tcPr>
          <w:p w14:paraId="4DC43BFC">
            <w:pPr>
              <w:pStyle w:val="4"/>
              <w:jc w:val="left"/>
              <w:rPr>
                <w:highlight w:val="none"/>
              </w:rPr>
            </w:pPr>
            <w:r>
              <w:rPr>
                <w:rFonts w:ascii="仿宋_GB2312" w:hAnsi="仿宋_GB2312" w:eastAsia="仿宋_GB2312" w:cs="仿宋_GB2312"/>
                <w:highlight w:val="none"/>
              </w:rPr>
              <w:t>10.8-（1）</w:t>
            </w:r>
          </w:p>
        </w:tc>
        <w:tc>
          <w:tcPr>
            <w:tcW w:w="5946" w:type="dxa"/>
          </w:tcPr>
          <w:p w14:paraId="04303DA9">
            <w:pPr>
              <w:pStyle w:val="4"/>
              <w:jc w:val="left"/>
              <w:rPr>
                <w:highlight w:val="none"/>
              </w:rPr>
            </w:pPr>
            <w:r>
              <w:rPr>
                <w:rFonts w:ascii="仿宋_GB2312" w:hAnsi="仿宋_GB2312" w:eastAsia="仿宋_GB2312" w:cs="仿宋_GB2312"/>
                <w:highlight w:val="none"/>
              </w:rPr>
              <w:t>投标有效期：投标截止时间起 90 个日历日。</w:t>
            </w:r>
          </w:p>
        </w:tc>
      </w:tr>
      <w:tr w14:paraId="48EBFB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1" w:type="dxa"/>
          </w:tcPr>
          <w:p w14:paraId="2A993335">
            <w:pPr>
              <w:pStyle w:val="4"/>
              <w:jc w:val="left"/>
              <w:rPr>
                <w:highlight w:val="none"/>
              </w:rPr>
            </w:pPr>
            <w:r>
              <w:rPr>
                <w:rFonts w:ascii="仿宋_GB2312" w:hAnsi="仿宋_GB2312" w:eastAsia="仿宋_GB2312" w:cs="仿宋_GB2312"/>
                <w:highlight w:val="none"/>
              </w:rPr>
              <w:t>5</w:t>
            </w:r>
          </w:p>
        </w:tc>
        <w:tc>
          <w:tcPr>
            <w:tcW w:w="1400" w:type="dxa"/>
          </w:tcPr>
          <w:p w14:paraId="069CB508">
            <w:pPr>
              <w:pStyle w:val="4"/>
              <w:jc w:val="left"/>
              <w:rPr>
                <w:highlight w:val="none"/>
              </w:rPr>
            </w:pPr>
            <w:r>
              <w:rPr>
                <w:rFonts w:ascii="仿宋_GB2312" w:hAnsi="仿宋_GB2312" w:eastAsia="仿宋_GB2312" w:cs="仿宋_GB2312"/>
                <w:highlight w:val="none"/>
              </w:rPr>
              <w:t>12.1</w:t>
            </w:r>
          </w:p>
        </w:tc>
        <w:tc>
          <w:tcPr>
            <w:tcW w:w="5946" w:type="dxa"/>
          </w:tcPr>
          <w:p w14:paraId="755C25F7">
            <w:pPr>
              <w:pStyle w:val="4"/>
              <w:jc w:val="left"/>
              <w:rPr>
                <w:highlight w:val="none"/>
              </w:rPr>
            </w:pPr>
            <w:r>
              <w:rPr>
                <w:rFonts w:ascii="仿宋_GB2312" w:hAnsi="仿宋_GB2312" w:eastAsia="仿宋_GB2312" w:cs="仿宋_GB2312"/>
                <w:highlight w:val="none"/>
              </w:rPr>
              <w:t>确定中标候选人名单：</w:t>
            </w:r>
          </w:p>
          <w:p w14:paraId="492330B5">
            <w:pPr>
              <w:pStyle w:val="4"/>
              <w:jc w:val="left"/>
              <w:rPr>
                <w:highlight w:val="none"/>
              </w:rPr>
            </w:pPr>
            <w:r>
              <w:rPr>
                <w:rFonts w:ascii="仿宋_GB2312" w:hAnsi="仿宋_GB2312" w:eastAsia="仿宋_GB2312" w:cs="仿宋_GB2312"/>
                <w:highlight w:val="none"/>
              </w:rPr>
              <w:t>采购包1：1名</w:t>
            </w:r>
          </w:p>
        </w:tc>
      </w:tr>
      <w:tr w14:paraId="17173A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1" w:type="dxa"/>
          </w:tcPr>
          <w:p w14:paraId="44B1F5CA">
            <w:pPr>
              <w:pStyle w:val="4"/>
              <w:jc w:val="left"/>
              <w:rPr>
                <w:highlight w:val="none"/>
              </w:rPr>
            </w:pPr>
            <w:r>
              <w:rPr>
                <w:rFonts w:ascii="仿宋_GB2312" w:hAnsi="仿宋_GB2312" w:eastAsia="仿宋_GB2312" w:cs="仿宋_GB2312"/>
                <w:highlight w:val="none"/>
              </w:rPr>
              <w:t>6</w:t>
            </w:r>
          </w:p>
        </w:tc>
        <w:tc>
          <w:tcPr>
            <w:tcW w:w="1400" w:type="dxa"/>
          </w:tcPr>
          <w:p w14:paraId="6C3BFF0D">
            <w:pPr>
              <w:pStyle w:val="4"/>
              <w:jc w:val="left"/>
              <w:rPr>
                <w:highlight w:val="none"/>
              </w:rPr>
            </w:pPr>
            <w:r>
              <w:rPr>
                <w:rFonts w:ascii="仿宋_GB2312" w:hAnsi="仿宋_GB2312" w:eastAsia="仿宋_GB2312" w:cs="仿宋_GB2312"/>
                <w:highlight w:val="none"/>
              </w:rPr>
              <w:t>12.2</w:t>
            </w:r>
          </w:p>
        </w:tc>
        <w:tc>
          <w:tcPr>
            <w:tcW w:w="5946" w:type="dxa"/>
          </w:tcPr>
          <w:p w14:paraId="63DDF6D3">
            <w:pPr>
              <w:pStyle w:val="4"/>
              <w:jc w:val="left"/>
              <w:rPr>
                <w:highlight w:val="none"/>
              </w:rPr>
            </w:pPr>
            <w:r>
              <w:rPr>
                <w:rFonts w:ascii="仿宋_GB2312" w:hAnsi="仿宋_GB2312" w:eastAsia="仿宋_GB2312" w:cs="仿宋_GB2312"/>
                <w:highlight w:val="none"/>
              </w:rPr>
              <w:t>本项目中标人的确定（以采购包为单位）：</w:t>
            </w:r>
          </w:p>
          <w:p w14:paraId="7CB4B4B0">
            <w:pPr>
              <w:pStyle w:val="4"/>
              <w:jc w:val="left"/>
              <w:rPr>
                <w:highlight w:val="none"/>
              </w:rPr>
            </w:pPr>
            <w:r>
              <w:rPr>
                <w:rFonts w:ascii="仿宋_GB2312" w:hAnsi="仿宋_GB2312" w:eastAsia="仿宋_GB2312" w:cs="仿宋_GB2312"/>
                <w:highlight w:val="none"/>
              </w:rPr>
              <w:t>（1） 采购人应在政府采购招投标管理办法规定的时限内确定中标人。</w:t>
            </w:r>
          </w:p>
          <w:p w14:paraId="31414DC6">
            <w:pPr>
              <w:pStyle w:val="4"/>
              <w:jc w:val="left"/>
              <w:rPr>
                <w:highlight w:val="none"/>
              </w:rPr>
            </w:pPr>
            <w:r>
              <w:rPr>
                <w:rFonts w:ascii="仿宋_GB2312" w:hAnsi="仿宋_GB2312" w:eastAsia="仿宋_GB2312" w:cs="仿宋_GB2312"/>
                <w:highlight w:val="none"/>
              </w:rPr>
              <w:t>（2）若出现中标候选人并列情形，则按照下列方式确定中标人：</w:t>
            </w:r>
          </w:p>
          <w:p w14:paraId="7490BE21">
            <w:pPr>
              <w:pStyle w:val="4"/>
              <w:jc w:val="left"/>
              <w:rPr>
                <w:highlight w:val="none"/>
              </w:rPr>
            </w:pPr>
            <w:r>
              <w:rPr>
                <w:rFonts w:ascii="仿宋_GB2312" w:hAnsi="仿宋_GB2312" w:eastAsia="仿宋_GB2312" w:cs="仿宋_GB2312"/>
                <w:highlight w:val="none"/>
              </w:rPr>
              <w:t>①招标文件规定的方式：</w:t>
            </w:r>
          </w:p>
          <w:p w14:paraId="2C407AC3">
            <w:pPr>
              <w:pStyle w:val="4"/>
              <w:jc w:val="left"/>
              <w:rPr>
                <w:highlight w:val="none"/>
              </w:rPr>
            </w:pPr>
            <w:r>
              <w:rPr>
                <w:rFonts w:ascii="仿宋_GB2312" w:hAnsi="仿宋_GB2312" w:eastAsia="仿宋_GB2312" w:cs="仿宋_GB2312"/>
                <w:highlight w:val="none"/>
              </w:rPr>
              <w:t>无</w:t>
            </w:r>
          </w:p>
          <w:p w14:paraId="4EB1523F">
            <w:pPr>
              <w:pStyle w:val="4"/>
              <w:jc w:val="left"/>
              <w:rPr>
                <w:highlight w:val="none"/>
              </w:rPr>
            </w:pPr>
            <w:r>
              <w:rPr>
                <w:rFonts w:ascii="仿宋_GB2312" w:hAnsi="仿宋_GB2312" w:eastAsia="仿宋_GB2312" w:cs="仿宋_GB2312"/>
                <w:highlight w:val="none"/>
              </w:rPr>
              <w:t>②若本款第①点规定方式为“无”，则按照下列方式确定：</w:t>
            </w:r>
          </w:p>
          <w:p w14:paraId="535C0F98">
            <w:pPr>
              <w:pStyle w:val="4"/>
              <w:jc w:val="left"/>
              <w:rPr>
                <w:highlight w:val="none"/>
              </w:rPr>
            </w:pPr>
            <w:r>
              <w:rPr>
                <w:rFonts w:ascii="仿宋_GB2312" w:hAnsi="仿宋_GB2312" w:eastAsia="仿宋_GB2312" w:cs="仿宋_GB2312"/>
                <w:highlight w:val="none"/>
              </w:rPr>
              <w:t>无</w:t>
            </w:r>
          </w:p>
          <w:p w14:paraId="7C7A8946">
            <w:pPr>
              <w:pStyle w:val="4"/>
              <w:jc w:val="left"/>
              <w:rPr>
                <w:highlight w:val="none"/>
              </w:rPr>
            </w:pPr>
            <w:r>
              <w:rPr>
                <w:rFonts w:ascii="仿宋_GB2312" w:hAnsi="仿宋_GB2312" w:eastAsia="仿宋_GB2312" w:cs="仿宋_GB2312"/>
                <w:highlight w:val="none"/>
              </w:rPr>
              <w:t>③若本款第①、②点规定方式均为“无”，则按照下列方式确定：随机抽取。</w:t>
            </w:r>
          </w:p>
          <w:p w14:paraId="55618BD7">
            <w:pPr>
              <w:pStyle w:val="4"/>
              <w:jc w:val="left"/>
              <w:rPr>
                <w:highlight w:val="none"/>
              </w:rPr>
            </w:pPr>
            <w:r>
              <w:rPr>
                <w:rFonts w:ascii="仿宋_GB2312" w:hAnsi="仿宋_GB2312" w:eastAsia="仿宋_GB2312" w:cs="仿宋_GB2312"/>
                <w:highlight w:val="none"/>
              </w:rPr>
              <w:t>（3）本项目确定的中标人家数：</w:t>
            </w:r>
          </w:p>
          <w:p w14:paraId="595213E1">
            <w:pPr>
              <w:pStyle w:val="4"/>
              <w:jc w:val="left"/>
              <w:rPr>
                <w:highlight w:val="none"/>
              </w:rPr>
            </w:pPr>
            <w:r>
              <w:rPr>
                <w:rFonts w:ascii="仿宋_GB2312" w:hAnsi="仿宋_GB2312" w:eastAsia="仿宋_GB2312" w:cs="仿宋_GB2312"/>
                <w:highlight w:val="none"/>
              </w:rPr>
              <w:t>采购包1：1名</w:t>
            </w:r>
          </w:p>
        </w:tc>
      </w:tr>
      <w:tr w14:paraId="748ED0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1" w:type="dxa"/>
          </w:tcPr>
          <w:p w14:paraId="52A0BD82">
            <w:pPr>
              <w:pStyle w:val="4"/>
              <w:jc w:val="left"/>
              <w:rPr>
                <w:highlight w:val="none"/>
              </w:rPr>
            </w:pPr>
            <w:r>
              <w:rPr>
                <w:rFonts w:ascii="仿宋_GB2312" w:hAnsi="仿宋_GB2312" w:eastAsia="仿宋_GB2312" w:cs="仿宋_GB2312"/>
                <w:highlight w:val="none"/>
              </w:rPr>
              <w:t>7</w:t>
            </w:r>
          </w:p>
        </w:tc>
        <w:tc>
          <w:tcPr>
            <w:tcW w:w="1400" w:type="dxa"/>
          </w:tcPr>
          <w:p w14:paraId="21041666">
            <w:pPr>
              <w:pStyle w:val="4"/>
              <w:jc w:val="left"/>
              <w:rPr>
                <w:highlight w:val="none"/>
              </w:rPr>
            </w:pPr>
            <w:r>
              <w:rPr>
                <w:rFonts w:ascii="仿宋_GB2312" w:hAnsi="仿宋_GB2312" w:eastAsia="仿宋_GB2312" w:cs="仿宋_GB2312"/>
                <w:highlight w:val="none"/>
              </w:rPr>
              <w:t>13.2</w:t>
            </w:r>
          </w:p>
        </w:tc>
        <w:tc>
          <w:tcPr>
            <w:tcW w:w="5946" w:type="dxa"/>
          </w:tcPr>
          <w:p w14:paraId="2AD093C1">
            <w:pPr>
              <w:pStyle w:val="4"/>
              <w:jc w:val="left"/>
              <w:rPr>
                <w:highlight w:val="none"/>
              </w:rPr>
            </w:pPr>
            <w:r>
              <w:rPr>
                <w:rFonts w:ascii="仿宋_GB2312" w:hAnsi="仿宋_GB2312" w:eastAsia="仿宋_GB2312" w:cs="仿宋_GB2312"/>
                <w:highlight w:val="none"/>
              </w:rPr>
              <w:t>合同签订时限： 自中标通知书发出之日起30个日历日内。</w:t>
            </w:r>
          </w:p>
        </w:tc>
      </w:tr>
      <w:tr w14:paraId="758794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1" w:type="dxa"/>
          </w:tcPr>
          <w:p w14:paraId="1D26C4BC">
            <w:pPr>
              <w:pStyle w:val="4"/>
              <w:jc w:val="left"/>
              <w:rPr>
                <w:highlight w:val="none"/>
              </w:rPr>
            </w:pPr>
            <w:r>
              <w:rPr>
                <w:rFonts w:ascii="仿宋_GB2312" w:hAnsi="仿宋_GB2312" w:eastAsia="仿宋_GB2312" w:cs="仿宋_GB2312"/>
                <w:highlight w:val="none"/>
              </w:rPr>
              <w:t>8</w:t>
            </w:r>
          </w:p>
        </w:tc>
        <w:tc>
          <w:tcPr>
            <w:tcW w:w="1400" w:type="dxa"/>
          </w:tcPr>
          <w:p w14:paraId="2B4F5585">
            <w:pPr>
              <w:pStyle w:val="4"/>
              <w:jc w:val="left"/>
              <w:rPr>
                <w:highlight w:val="none"/>
              </w:rPr>
            </w:pPr>
            <w:r>
              <w:rPr>
                <w:rFonts w:ascii="仿宋_GB2312" w:hAnsi="仿宋_GB2312" w:eastAsia="仿宋_GB2312" w:cs="仿宋_GB2312"/>
                <w:highlight w:val="none"/>
              </w:rPr>
              <w:t>15.1-（2）</w:t>
            </w:r>
          </w:p>
        </w:tc>
        <w:tc>
          <w:tcPr>
            <w:tcW w:w="5946" w:type="dxa"/>
          </w:tcPr>
          <w:p w14:paraId="1D11AC4D">
            <w:pPr>
              <w:pStyle w:val="4"/>
              <w:jc w:val="left"/>
              <w:rPr>
                <w:highlight w:val="none"/>
              </w:rPr>
            </w:pPr>
            <w:r>
              <w:rPr>
                <w:rFonts w:ascii="仿宋_GB2312" w:hAnsi="仿宋_GB2312" w:eastAsia="仿宋_GB2312" w:cs="仿宋_GB2312"/>
                <w:highlight w:val="none"/>
              </w:rPr>
              <w:t>质疑函原件应采用下列方式提交：书面形式。</w:t>
            </w:r>
          </w:p>
        </w:tc>
      </w:tr>
      <w:tr w14:paraId="2C2A43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1" w:type="dxa"/>
          </w:tcPr>
          <w:p w14:paraId="698EB7B8">
            <w:pPr>
              <w:pStyle w:val="4"/>
              <w:jc w:val="left"/>
              <w:rPr>
                <w:highlight w:val="none"/>
              </w:rPr>
            </w:pPr>
            <w:r>
              <w:rPr>
                <w:rFonts w:ascii="仿宋_GB2312" w:hAnsi="仿宋_GB2312" w:eastAsia="仿宋_GB2312" w:cs="仿宋_GB2312"/>
                <w:highlight w:val="none"/>
              </w:rPr>
              <w:t>9</w:t>
            </w:r>
          </w:p>
        </w:tc>
        <w:tc>
          <w:tcPr>
            <w:tcW w:w="1400" w:type="dxa"/>
          </w:tcPr>
          <w:p w14:paraId="42EEE479">
            <w:pPr>
              <w:pStyle w:val="4"/>
              <w:jc w:val="left"/>
              <w:rPr>
                <w:highlight w:val="none"/>
              </w:rPr>
            </w:pPr>
            <w:r>
              <w:rPr>
                <w:rFonts w:ascii="仿宋_GB2312" w:hAnsi="仿宋_GB2312" w:eastAsia="仿宋_GB2312" w:cs="仿宋_GB2312"/>
                <w:highlight w:val="none"/>
              </w:rPr>
              <w:t>15.4</w:t>
            </w:r>
          </w:p>
        </w:tc>
        <w:tc>
          <w:tcPr>
            <w:tcW w:w="5946" w:type="dxa"/>
          </w:tcPr>
          <w:p w14:paraId="7705E551">
            <w:pPr>
              <w:pStyle w:val="4"/>
              <w:jc w:val="left"/>
              <w:rPr>
                <w:highlight w:val="none"/>
              </w:rPr>
            </w:pPr>
            <w:r>
              <w:rPr>
                <w:rFonts w:ascii="仿宋_GB2312" w:hAnsi="仿宋_GB2312" w:eastAsia="仿宋_GB2312" w:cs="仿宋_GB2312"/>
                <w:highlight w:val="none"/>
              </w:rPr>
              <w:t>招标文件的质疑</w:t>
            </w:r>
          </w:p>
          <w:p w14:paraId="73975E5D">
            <w:pPr>
              <w:pStyle w:val="4"/>
              <w:jc w:val="left"/>
              <w:rPr>
                <w:highlight w:val="none"/>
              </w:rPr>
            </w:pPr>
            <w:r>
              <w:rPr>
                <w:rFonts w:ascii="仿宋_GB2312" w:hAnsi="仿宋_GB2312" w:eastAsia="仿宋_GB2312" w:cs="仿宋_GB2312"/>
                <w:highlight w:val="none"/>
              </w:rPr>
              <w:t>（1）潜在投标人可在质疑时效期间内对招标文件以书面形式提出质疑。</w:t>
            </w:r>
          </w:p>
          <w:p w14:paraId="0A024100">
            <w:pPr>
              <w:pStyle w:val="4"/>
              <w:jc w:val="left"/>
              <w:rPr>
                <w:highlight w:val="none"/>
              </w:rPr>
            </w:pPr>
            <w:r>
              <w:rPr>
                <w:rFonts w:ascii="仿宋_GB2312" w:hAnsi="仿宋_GB2312" w:eastAsia="仿宋_GB2312" w:cs="仿宋_GB2312"/>
                <w:highlight w:val="none"/>
              </w:rPr>
              <w:t>（2）质疑时效期间：应在依法获取招标文件之日起7个工作日内向 福建省公共资源交易中心 提出，依法获取招标文件的时间以福建省政府采购网上公开信息系统记载的为准。</w:t>
            </w:r>
          </w:p>
          <w:p w14:paraId="42C154B2">
            <w:pPr>
              <w:pStyle w:val="4"/>
              <w:jc w:val="left"/>
              <w:rPr>
                <w:highlight w:val="none"/>
              </w:rPr>
            </w:pPr>
            <w:r>
              <w:rPr>
                <w:rFonts w:ascii="仿宋_GB2312" w:hAnsi="仿宋_GB2312" w:eastAsia="仿宋_GB2312" w:cs="仿宋_GB2312"/>
                <w:highlight w:val="none"/>
              </w:rPr>
              <w:t>※除上述规定外，对招标文件提出的质疑还应符合招标文件第三章第15.1条的有关规定。</w:t>
            </w:r>
          </w:p>
        </w:tc>
      </w:tr>
      <w:tr w14:paraId="36E1AB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1" w:type="dxa"/>
          </w:tcPr>
          <w:p w14:paraId="7099E3E8">
            <w:pPr>
              <w:pStyle w:val="4"/>
              <w:jc w:val="left"/>
              <w:rPr>
                <w:highlight w:val="none"/>
              </w:rPr>
            </w:pPr>
            <w:r>
              <w:rPr>
                <w:rFonts w:ascii="仿宋_GB2312" w:hAnsi="仿宋_GB2312" w:eastAsia="仿宋_GB2312" w:cs="仿宋_GB2312"/>
                <w:highlight w:val="none"/>
              </w:rPr>
              <w:t>10</w:t>
            </w:r>
          </w:p>
        </w:tc>
        <w:tc>
          <w:tcPr>
            <w:tcW w:w="1400" w:type="dxa"/>
          </w:tcPr>
          <w:p w14:paraId="15F4C505">
            <w:pPr>
              <w:pStyle w:val="4"/>
              <w:jc w:val="left"/>
              <w:rPr>
                <w:highlight w:val="none"/>
              </w:rPr>
            </w:pPr>
            <w:r>
              <w:rPr>
                <w:rFonts w:ascii="仿宋_GB2312" w:hAnsi="仿宋_GB2312" w:eastAsia="仿宋_GB2312" w:cs="仿宋_GB2312"/>
                <w:highlight w:val="none"/>
              </w:rPr>
              <w:t>16.1</w:t>
            </w:r>
          </w:p>
        </w:tc>
        <w:tc>
          <w:tcPr>
            <w:tcW w:w="5946" w:type="dxa"/>
          </w:tcPr>
          <w:p w14:paraId="26EE0198">
            <w:pPr>
              <w:pStyle w:val="4"/>
              <w:jc w:val="left"/>
              <w:rPr>
                <w:highlight w:val="none"/>
              </w:rPr>
            </w:pPr>
            <w:r>
              <w:rPr>
                <w:rFonts w:ascii="仿宋_GB2312" w:hAnsi="仿宋_GB2312" w:eastAsia="仿宋_GB2312" w:cs="仿宋_GB2312"/>
                <w:highlight w:val="none"/>
              </w:rPr>
              <w:t>监督管理部门： 福建省财政厅政府采购监督管理办公室 （仅限依法进行政府采购的货物或服务类项目）。</w:t>
            </w:r>
          </w:p>
        </w:tc>
      </w:tr>
      <w:tr w14:paraId="3B9296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1" w:type="dxa"/>
          </w:tcPr>
          <w:p w14:paraId="4F5D3126">
            <w:pPr>
              <w:pStyle w:val="4"/>
              <w:jc w:val="left"/>
              <w:rPr>
                <w:highlight w:val="none"/>
              </w:rPr>
            </w:pPr>
            <w:r>
              <w:rPr>
                <w:rFonts w:ascii="仿宋_GB2312" w:hAnsi="仿宋_GB2312" w:eastAsia="仿宋_GB2312" w:cs="仿宋_GB2312"/>
                <w:highlight w:val="none"/>
              </w:rPr>
              <w:t>11</w:t>
            </w:r>
          </w:p>
        </w:tc>
        <w:tc>
          <w:tcPr>
            <w:tcW w:w="1400" w:type="dxa"/>
          </w:tcPr>
          <w:p w14:paraId="4A4F43AA">
            <w:pPr>
              <w:pStyle w:val="4"/>
              <w:jc w:val="left"/>
              <w:rPr>
                <w:highlight w:val="none"/>
              </w:rPr>
            </w:pPr>
            <w:r>
              <w:rPr>
                <w:rFonts w:ascii="仿宋_GB2312" w:hAnsi="仿宋_GB2312" w:eastAsia="仿宋_GB2312" w:cs="仿宋_GB2312"/>
                <w:highlight w:val="none"/>
              </w:rPr>
              <w:t>18.1</w:t>
            </w:r>
          </w:p>
        </w:tc>
        <w:tc>
          <w:tcPr>
            <w:tcW w:w="5946" w:type="dxa"/>
          </w:tcPr>
          <w:p w14:paraId="1C8BC91A">
            <w:pPr>
              <w:pStyle w:val="4"/>
              <w:jc w:val="left"/>
              <w:rPr>
                <w:highlight w:val="none"/>
              </w:rPr>
            </w:pPr>
            <w:r>
              <w:rPr>
                <w:rFonts w:ascii="仿宋_GB2312" w:hAnsi="仿宋_GB2312" w:eastAsia="仿宋_GB2312" w:cs="仿宋_GB2312"/>
                <w:highlight w:val="none"/>
              </w:rPr>
              <w:t>财政部和福建省财政厅指定的政府采购信息发布媒体（以下简称：“指定媒体”）：</w:t>
            </w:r>
          </w:p>
          <w:p w14:paraId="7705E909">
            <w:pPr>
              <w:pStyle w:val="4"/>
              <w:jc w:val="left"/>
              <w:rPr>
                <w:highlight w:val="none"/>
              </w:rPr>
            </w:pPr>
            <w:r>
              <w:rPr>
                <w:rFonts w:ascii="仿宋_GB2312" w:hAnsi="仿宋_GB2312" w:eastAsia="仿宋_GB2312" w:cs="仿宋_GB2312"/>
                <w:highlight w:val="none"/>
              </w:rPr>
              <w:t xml:space="preserve"> （1）中国政府采购网，网址www.ccgp.gov.cn。</w:t>
            </w:r>
          </w:p>
          <w:p w14:paraId="50CDCA74">
            <w:pPr>
              <w:pStyle w:val="4"/>
              <w:jc w:val="left"/>
              <w:rPr>
                <w:highlight w:val="none"/>
              </w:rPr>
            </w:pPr>
            <w:r>
              <w:rPr>
                <w:rFonts w:ascii="仿宋_GB2312" w:hAnsi="仿宋_GB2312" w:eastAsia="仿宋_GB2312" w:cs="仿宋_GB2312"/>
                <w:highlight w:val="none"/>
              </w:rPr>
              <w:t xml:space="preserve"> （2）中国政府采购网福建分网（福建省政府采购网），网址zfcg.czt.fujian.gov.cn。</w:t>
            </w:r>
          </w:p>
          <w:p w14:paraId="5EF9EDDE">
            <w:pPr>
              <w:pStyle w:val="4"/>
              <w:jc w:val="left"/>
              <w:rPr>
                <w:highlight w:val="none"/>
              </w:rPr>
            </w:pPr>
            <w:r>
              <w:rPr>
                <w:rFonts w:ascii="仿宋_GB2312" w:hAnsi="仿宋_GB2312" w:eastAsia="仿宋_GB2312" w:cs="仿宋_GB2312"/>
                <w:highlight w:val="none"/>
              </w:rPr>
              <w:t xml:space="preserve"> ※若出现上述指定媒体信息不一致情形，应以中国政府采购网福建分网（福建省政府采购网）发布的为准。</w:t>
            </w:r>
          </w:p>
        </w:tc>
      </w:tr>
      <w:tr w14:paraId="1782CA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1" w:type="dxa"/>
          </w:tcPr>
          <w:p w14:paraId="2B175D91">
            <w:pPr>
              <w:pStyle w:val="4"/>
              <w:jc w:val="left"/>
              <w:rPr>
                <w:highlight w:val="none"/>
              </w:rPr>
            </w:pPr>
            <w:r>
              <w:rPr>
                <w:rFonts w:ascii="仿宋_GB2312" w:hAnsi="仿宋_GB2312" w:eastAsia="仿宋_GB2312" w:cs="仿宋_GB2312"/>
                <w:highlight w:val="none"/>
              </w:rPr>
              <w:t>12</w:t>
            </w:r>
          </w:p>
        </w:tc>
        <w:tc>
          <w:tcPr>
            <w:tcW w:w="1400" w:type="dxa"/>
          </w:tcPr>
          <w:p w14:paraId="688D1A85">
            <w:pPr>
              <w:pStyle w:val="4"/>
              <w:jc w:val="left"/>
              <w:rPr>
                <w:highlight w:val="none"/>
              </w:rPr>
            </w:pPr>
            <w:r>
              <w:rPr>
                <w:rFonts w:ascii="仿宋_GB2312" w:hAnsi="仿宋_GB2312" w:eastAsia="仿宋_GB2312" w:cs="仿宋_GB2312"/>
                <w:highlight w:val="none"/>
              </w:rPr>
              <w:t>19</w:t>
            </w:r>
          </w:p>
        </w:tc>
        <w:tc>
          <w:tcPr>
            <w:tcW w:w="5946" w:type="dxa"/>
          </w:tcPr>
          <w:p w14:paraId="6E955479">
            <w:pPr>
              <w:pStyle w:val="4"/>
              <w:jc w:val="left"/>
              <w:rPr>
                <w:highlight w:val="none"/>
              </w:rPr>
            </w:pPr>
            <w:r>
              <w:rPr>
                <w:rFonts w:ascii="仿宋_GB2312" w:hAnsi="仿宋_GB2312" w:eastAsia="仿宋_GB2312" w:cs="仿宋_GB2312"/>
                <w:highlight w:val="none"/>
              </w:rPr>
              <w:t>其他事项：</w:t>
            </w:r>
          </w:p>
          <w:p w14:paraId="594D4A4E">
            <w:pPr>
              <w:pStyle w:val="4"/>
              <w:jc w:val="left"/>
              <w:rPr>
                <w:highlight w:val="none"/>
              </w:rPr>
            </w:pPr>
            <w:r>
              <w:rPr>
                <w:rFonts w:ascii="仿宋_GB2312" w:hAnsi="仿宋_GB2312" w:eastAsia="仿宋_GB2312" w:cs="仿宋_GB2312"/>
                <w:highlight w:val="none"/>
              </w:rPr>
              <w:t xml:space="preserve"> (1)本项目代理服务费：</w:t>
            </w:r>
          </w:p>
          <w:p w14:paraId="0E061ADC">
            <w:pPr>
              <w:pStyle w:val="4"/>
              <w:jc w:val="left"/>
              <w:rPr>
                <w:highlight w:val="none"/>
              </w:rPr>
            </w:pPr>
            <w:r>
              <w:rPr>
                <w:rFonts w:ascii="仿宋_GB2312" w:hAnsi="仿宋_GB2312" w:eastAsia="仿宋_GB2312" w:cs="仿宋_GB2312"/>
                <w:highlight w:val="none"/>
              </w:rPr>
              <w:t>本项目不收取代理服务费</w:t>
            </w:r>
          </w:p>
          <w:p w14:paraId="0155B1EC">
            <w:pPr>
              <w:pStyle w:val="4"/>
              <w:jc w:val="left"/>
              <w:rPr>
                <w:highlight w:val="none"/>
              </w:rPr>
            </w:pPr>
            <w:r>
              <w:rPr>
                <w:rFonts w:ascii="仿宋_GB2312" w:hAnsi="仿宋_GB2312" w:eastAsia="仿宋_GB2312" w:cs="仿宋_GB2312"/>
                <w:highlight w:val="none"/>
              </w:rPr>
              <w:t xml:space="preserve"> (2)其他：</w:t>
            </w:r>
          </w:p>
          <w:p w14:paraId="7DCABAA1">
            <w:pPr>
              <w:pStyle w:val="4"/>
              <w:jc w:val="left"/>
              <w:rPr>
                <w:highlight w:val="none"/>
              </w:rPr>
            </w:pPr>
            <w:r>
              <w:rPr>
                <w:rFonts w:ascii="仿宋_GB2312" w:hAnsi="仿宋_GB2312" w:eastAsia="仿宋_GB2312" w:cs="仿宋_GB2312"/>
                <w:highlight w:val="none"/>
              </w:rPr>
              <w:t>根据《中华人民共和国政府采购法》《中华人民共和国政府采购法实施条例》和其他有关法律法规规定及采购人与福建省公共资源交易中心签订的委托协议约定，对有关质疑、询问事项明确如下：1.1、投标人对招标文件中关于“投标人资格要求”所规定的“特定条件（落实政府采购政策的证明材料除外）”、招标文件中关于“评标方法和标准”所规定的具体评分条款以及“招标内容及要求”所涉及的相关内容有质疑的，投标人应直接向采购人提出，并将质疑函及必要的证明材料送达采购人。上述质疑事项，由采购人按相关规定作出答复。1.2、投标人对除本条款第一项中明确应向采购人提出质疑之外的其他内容或事项有质疑的，可向采购人或福建省公共资源交易中心提出、也可向采购人和福建省公共资源交易中心同时提出，并由采购人和福建省公共资源交易中心按相关规定作出答复。1.3、本采购项目采购人、福建省公共资源交易中心的联系人及联系方式详见本项目“招标公告”。投标人对政府采购活动事项有疑问的，参照上述规定向采购人、福建省公共资源交易中心提出询问。投标人应遵照本条款要求确定质疑、询问提出主体。对应向采购人提出的质疑或询问事项，由投标人向采购人直接提出，福建省公共资源交易中心不负责转交（或转告）。因递交或询问对象错误，引起不利后果的，由投标人自行承担。凡招标文件中关于质疑、询问事项的规定与本条款规定不一致的，按本条款执行。</w:t>
            </w:r>
          </w:p>
        </w:tc>
      </w:tr>
      <w:tr w14:paraId="566B6B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361" w:type="dxa"/>
            <w:gridSpan w:val="2"/>
          </w:tcPr>
          <w:p w14:paraId="3F6712E4">
            <w:pPr>
              <w:pStyle w:val="4"/>
              <w:jc w:val="left"/>
              <w:rPr>
                <w:highlight w:val="none"/>
              </w:rPr>
            </w:pPr>
            <w:r>
              <w:rPr>
                <w:rFonts w:ascii="仿宋_GB2312" w:hAnsi="仿宋_GB2312" w:eastAsia="仿宋_GB2312" w:cs="仿宋_GB2312"/>
                <w:highlight w:val="none"/>
              </w:rPr>
              <w:t>备注</w:t>
            </w:r>
          </w:p>
        </w:tc>
        <w:tc>
          <w:tcPr>
            <w:tcW w:w="5946" w:type="dxa"/>
          </w:tcPr>
          <w:p w14:paraId="6F562C4A">
            <w:pPr>
              <w:pStyle w:val="4"/>
              <w:jc w:val="left"/>
              <w:rPr>
                <w:highlight w:val="none"/>
              </w:rPr>
            </w:pPr>
            <w:r>
              <w:rPr>
                <w:rFonts w:ascii="仿宋_GB2312" w:hAnsi="仿宋_GB2312" w:eastAsia="仿宋_GB2312" w:cs="仿宋_GB2312"/>
                <w:highlight w:val="none"/>
              </w:rPr>
              <w:t>后有投标人须知前附表2，请勿遗漏。</w:t>
            </w:r>
          </w:p>
        </w:tc>
      </w:tr>
    </w:tbl>
    <w:p w14:paraId="0080F2F5">
      <w:pPr>
        <w:pStyle w:val="4"/>
        <w:jc w:val="both"/>
        <w:outlineLvl w:val="2"/>
        <w:rPr>
          <w:highlight w:val="none"/>
        </w:rPr>
      </w:pPr>
      <w:r>
        <w:rPr>
          <w:rFonts w:ascii="仿宋_GB2312" w:hAnsi="仿宋_GB2312" w:eastAsia="仿宋_GB2312" w:cs="仿宋_GB2312"/>
          <w:b/>
          <w:sz w:val="28"/>
          <w:highlight w:val="none"/>
        </w:rPr>
        <w:t>二、投标人须知前附表2</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336"/>
        <w:gridCol w:w="5970"/>
      </w:tblGrid>
      <w:tr w14:paraId="3C858A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gridSpan w:val="2"/>
          </w:tcPr>
          <w:p w14:paraId="237279D0">
            <w:pPr>
              <w:pStyle w:val="4"/>
              <w:jc w:val="left"/>
              <w:rPr>
                <w:highlight w:val="none"/>
              </w:rPr>
            </w:pPr>
            <w:r>
              <w:rPr>
                <w:rFonts w:ascii="仿宋_GB2312" w:hAnsi="仿宋_GB2312" w:eastAsia="仿宋_GB2312" w:cs="仿宋_GB2312"/>
                <w:highlight w:val="none"/>
              </w:rPr>
              <w:t>关于电子招标投标活动的专门规定</w:t>
            </w:r>
          </w:p>
        </w:tc>
      </w:tr>
      <w:tr w14:paraId="6DF7D0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336" w:type="dxa"/>
          </w:tcPr>
          <w:p w14:paraId="0877D796">
            <w:pPr>
              <w:pStyle w:val="4"/>
              <w:jc w:val="left"/>
              <w:rPr>
                <w:highlight w:val="none"/>
              </w:rPr>
            </w:pPr>
            <w:r>
              <w:rPr>
                <w:rFonts w:ascii="仿宋_GB2312" w:hAnsi="仿宋_GB2312" w:eastAsia="仿宋_GB2312" w:cs="仿宋_GB2312"/>
                <w:highlight w:val="none"/>
              </w:rPr>
              <w:t>序号</w:t>
            </w:r>
          </w:p>
        </w:tc>
        <w:tc>
          <w:tcPr>
            <w:tcW w:w="5970" w:type="dxa"/>
          </w:tcPr>
          <w:p w14:paraId="50802EE6">
            <w:pPr>
              <w:pStyle w:val="4"/>
              <w:jc w:val="left"/>
              <w:rPr>
                <w:highlight w:val="none"/>
              </w:rPr>
            </w:pPr>
            <w:r>
              <w:rPr>
                <w:rFonts w:ascii="仿宋_GB2312" w:hAnsi="仿宋_GB2312" w:eastAsia="仿宋_GB2312" w:cs="仿宋_GB2312"/>
                <w:highlight w:val="none"/>
              </w:rPr>
              <w:t>编列内容</w:t>
            </w:r>
          </w:p>
        </w:tc>
      </w:tr>
      <w:tr w14:paraId="6E9EB1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336" w:type="dxa"/>
          </w:tcPr>
          <w:p w14:paraId="66460541">
            <w:pPr>
              <w:pStyle w:val="4"/>
              <w:jc w:val="left"/>
              <w:rPr>
                <w:highlight w:val="none"/>
              </w:rPr>
            </w:pPr>
            <w:r>
              <w:rPr>
                <w:rFonts w:ascii="仿宋_GB2312" w:hAnsi="仿宋_GB2312" w:eastAsia="仿宋_GB2312" w:cs="仿宋_GB2312"/>
                <w:highlight w:val="none"/>
              </w:rPr>
              <w:t>1</w:t>
            </w:r>
          </w:p>
        </w:tc>
        <w:tc>
          <w:tcPr>
            <w:tcW w:w="5970" w:type="dxa"/>
          </w:tcPr>
          <w:p w14:paraId="58497883">
            <w:pPr>
              <w:pStyle w:val="4"/>
              <w:jc w:val="left"/>
              <w:rPr>
                <w:highlight w:val="none"/>
              </w:rPr>
            </w:pPr>
            <w:r>
              <w:rPr>
                <w:rFonts w:ascii="仿宋_GB2312" w:hAnsi="仿宋_GB2312" w:eastAsia="仿宋_GB2312" w:cs="仿宋_GB2312"/>
                <w:highlight w:val="none"/>
              </w:rPr>
              <w:t>（1）电子招标投标活动的专门规定适用本项目电子招标投标活动。</w:t>
            </w:r>
          </w:p>
          <w:p w14:paraId="480E2851">
            <w:pPr>
              <w:pStyle w:val="4"/>
              <w:jc w:val="left"/>
              <w:rPr>
                <w:highlight w:val="none"/>
              </w:rPr>
            </w:pPr>
            <w:r>
              <w:rPr>
                <w:rFonts w:ascii="仿宋_GB2312" w:hAnsi="仿宋_GB2312" w:eastAsia="仿宋_GB2312" w:cs="仿宋_GB2312"/>
                <w:highlight w:val="none"/>
              </w:rPr>
              <w:t>（2）将招标文件</w:t>
            </w:r>
          </w:p>
          <w:p w14:paraId="693BC558">
            <w:pPr>
              <w:pStyle w:val="4"/>
              <w:jc w:val="left"/>
              <w:rPr>
                <w:highlight w:val="none"/>
              </w:rPr>
            </w:pPr>
            <w:r>
              <w:rPr>
                <w:rFonts w:ascii="仿宋_GB2312" w:hAnsi="仿宋_GB2312" w:eastAsia="仿宋_GB2312" w:cs="仿宋_GB2312"/>
                <w:highlight w:val="none"/>
              </w:rPr>
              <w:t>无 的内容修正为下列内容：</w:t>
            </w:r>
          </w:p>
          <w:p w14:paraId="470C9E08">
            <w:pPr>
              <w:pStyle w:val="4"/>
              <w:jc w:val="left"/>
              <w:rPr>
                <w:highlight w:val="none"/>
              </w:rPr>
            </w:pPr>
            <w:r>
              <w:rPr>
                <w:rFonts w:ascii="仿宋_GB2312" w:hAnsi="仿宋_GB2312" w:eastAsia="仿宋_GB2312" w:cs="仿宋_GB2312"/>
                <w:highlight w:val="none"/>
              </w:rPr>
              <w:t>无 后适用本项目的电子招标投标活动。</w:t>
            </w:r>
          </w:p>
          <w:p w14:paraId="6F372941">
            <w:pPr>
              <w:pStyle w:val="4"/>
              <w:jc w:val="left"/>
              <w:rPr>
                <w:highlight w:val="none"/>
              </w:rPr>
            </w:pPr>
            <w:r>
              <w:rPr>
                <w:rFonts w:ascii="仿宋_GB2312" w:hAnsi="仿宋_GB2312" w:eastAsia="仿宋_GB2312" w:cs="仿宋_GB2312"/>
                <w:highlight w:val="none"/>
              </w:rPr>
              <w:t>（3）将下列内容增列为招标文件的组成部分（以下简称：“增列内容”）适用本项目的电子招标投标活动，若增列内容与招标文件其他章节内容有冲突，应以增列内容为准：</w:t>
            </w:r>
          </w:p>
          <w:p w14:paraId="7BD6123A">
            <w:pPr>
              <w:pStyle w:val="4"/>
              <w:jc w:val="left"/>
              <w:rPr>
                <w:highlight w:val="none"/>
              </w:rPr>
            </w:pPr>
            <w:r>
              <w:rPr>
                <w:rFonts w:ascii="仿宋_GB2312" w:hAnsi="仿宋_GB2312" w:eastAsia="仿宋_GB2312" w:cs="仿宋_GB2312"/>
                <w:highlight w:val="none"/>
              </w:rPr>
              <w:t>①电子招标投标活动的具体操作流程以福建省政府采购网上公开信息系统设定的为准。</w:t>
            </w:r>
          </w:p>
          <w:p w14:paraId="52ED6EB3">
            <w:pPr>
              <w:pStyle w:val="4"/>
              <w:jc w:val="left"/>
              <w:rPr>
                <w:highlight w:val="none"/>
              </w:rPr>
            </w:pPr>
            <w:r>
              <w:rPr>
                <w:rFonts w:ascii="仿宋_GB2312" w:hAnsi="仿宋_GB2312" w:eastAsia="仿宋_GB2312" w:cs="仿宋_GB2312"/>
                <w:highlight w:val="none"/>
              </w:rPr>
              <w:t>②关于电子投标文件：</w:t>
            </w:r>
          </w:p>
          <w:p w14:paraId="6E7F9224">
            <w:pPr>
              <w:pStyle w:val="4"/>
              <w:jc w:val="left"/>
              <w:rPr>
                <w:highlight w:val="none"/>
              </w:rPr>
            </w:pPr>
            <w:r>
              <w:rPr>
                <w:rFonts w:ascii="仿宋_GB2312" w:hAnsi="仿宋_GB2312" w:eastAsia="仿宋_GB2312" w:cs="仿宋_GB2312"/>
                <w:highlight w:val="none"/>
              </w:rPr>
              <w:t>a.投标人应按照福建省政府采购网上公开信息系统设定的评审节点编制电子投标文件，否则资格审查小组、评标委员会将按照不利于投标人的内容进行认定。</w:t>
            </w:r>
          </w:p>
          <w:p w14:paraId="3ECF56C2">
            <w:pPr>
              <w:pStyle w:val="4"/>
              <w:jc w:val="left"/>
              <w:rPr>
                <w:highlight w:val="none"/>
              </w:rPr>
            </w:pPr>
            <w:r>
              <w:rPr>
                <w:rFonts w:ascii="仿宋_GB2312" w:hAnsi="仿宋_GB2312" w:eastAsia="仿宋_GB2312" w:cs="仿宋_GB2312"/>
                <w:highlight w:val="none"/>
              </w:rPr>
              <w:t>b.投标人应在投标截止时间前按照福建省政府采购网上公开信息系统设定的操作流程将电子投标文件1份上传至福建省政府采购网上公开信息系统。电子投标文件的投标（响应）报价明细表、投标客户端的投标（响应）报价明细表应保持一致，并以投标客户端的投标（响应）报价明细表为准。</w:t>
            </w:r>
          </w:p>
          <w:p w14:paraId="5A317370">
            <w:pPr>
              <w:pStyle w:val="4"/>
              <w:jc w:val="left"/>
              <w:rPr>
                <w:highlight w:val="none"/>
              </w:rPr>
            </w:pPr>
            <w:r>
              <w:rPr>
                <w:rFonts w:ascii="仿宋_GB2312" w:hAnsi="仿宋_GB2312" w:eastAsia="仿宋_GB2312" w:cs="仿宋_GB2312"/>
                <w:highlight w:val="none"/>
              </w:rPr>
              <w:t>③关于证明材料或资料：</w:t>
            </w:r>
          </w:p>
          <w:p w14:paraId="24CC3B46">
            <w:pPr>
              <w:pStyle w:val="4"/>
              <w:jc w:val="left"/>
              <w:rPr>
                <w:highlight w:val="none"/>
              </w:rPr>
            </w:pPr>
            <w:r>
              <w:rPr>
                <w:rFonts w:ascii="仿宋_GB2312" w:hAnsi="仿宋_GB2312" w:eastAsia="仿宋_GB2312" w:cs="仿宋_GB2312"/>
                <w:highlight w:val="none"/>
              </w:rPr>
              <w:t>a.招标文件要求原件的，投标人在电子投标文件中可提供复印件（含扫描件），但同时应准备好原件备查（未能在规定时间内提供原件核查的，将按不利于投标人进行评审）；招标文件要求复印件的，投标人在电子投标文件中提供原件、复印件（含扫描件）皆可；招标文件对原件、复印件未作要求的，投标人在电子投标文件中提供原件、复印件（含扫描件）皆可。</w:t>
            </w:r>
          </w:p>
          <w:p w14:paraId="7F98D427">
            <w:pPr>
              <w:pStyle w:val="4"/>
              <w:jc w:val="left"/>
              <w:rPr>
                <w:highlight w:val="none"/>
              </w:rPr>
            </w:pPr>
            <w:r>
              <w:rPr>
                <w:rFonts w:ascii="仿宋_GB2312" w:hAnsi="仿宋_GB2312" w:eastAsia="仿宋_GB2312" w:cs="仿宋_GB2312"/>
                <w:highlight w:val="none"/>
              </w:rPr>
              <w:t>b.若投标人提供注明“复印件无效”或“复印无效”的证明材料或资料，应结合上文a条款进行判定，若招标文件未要求投标人提供原件，投标人提供原件，复印件（含扫描件）均视为满足招标文件要求。</w:t>
            </w:r>
          </w:p>
          <w:p w14:paraId="601B493F">
            <w:pPr>
              <w:pStyle w:val="4"/>
              <w:jc w:val="left"/>
              <w:rPr>
                <w:highlight w:val="none"/>
              </w:rPr>
            </w:pPr>
            <w:r>
              <w:rPr>
                <w:rFonts w:ascii="仿宋_GB2312" w:hAnsi="仿宋_GB2312" w:eastAsia="仿宋_GB2312" w:cs="仿宋_GB2312"/>
                <w:highlight w:val="none"/>
              </w:rPr>
              <w:t>④关于“全称”、“投标人代表签字”及“加盖单位公章”：</w:t>
            </w:r>
          </w:p>
          <w:p w14:paraId="74839FEE">
            <w:pPr>
              <w:pStyle w:val="4"/>
              <w:jc w:val="left"/>
              <w:rPr>
                <w:highlight w:val="none"/>
              </w:rPr>
            </w:pPr>
            <w:r>
              <w:rPr>
                <w:rFonts w:ascii="仿宋_GB2312" w:hAnsi="仿宋_GB2312" w:eastAsia="仿宋_GB2312" w:cs="仿宋_GB2312"/>
                <w:highlight w:val="none"/>
              </w:rPr>
              <w:t>a.在电子投标文件中，涉及“全称”和“投标人代表签字”的内容可使用打字录入方式完成。</w:t>
            </w:r>
          </w:p>
          <w:p w14:paraId="0641A8A3">
            <w:pPr>
              <w:pStyle w:val="4"/>
              <w:jc w:val="left"/>
              <w:rPr>
                <w:highlight w:val="none"/>
              </w:rPr>
            </w:pPr>
            <w:r>
              <w:rPr>
                <w:rFonts w:ascii="仿宋_GB2312" w:hAnsi="仿宋_GB2312" w:eastAsia="仿宋_GB2312" w:cs="仿宋_GB2312"/>
                <w:highlight w:val="none"/>
              </w:rPr>
              <w:t>b.在电子投标文件中，涉及“加盖单位公章”的内容应使用投标人的CA证书完成，否则投标无效。</w:t>
            </w:r>
          </w:p>
          <w:p w14:paraId="445EF92F">
            <w:pPr>
              <w:pStyle w:val="4"/>
              <w:jc w:val="left"/>
              <w:rPr>
                <w:highlight w:val="none"/>
              </w:rPr>
            </w:pPr>
            <w:r>
              <w:rPr>
                <w:rFonts w:ascii="仿宋_GB2312" w:hAnsi="仿宋_GB2312" w:eastAsia="仿宋_GB2312" w:cs="仿宋_GB2312"/>
                <w:highlight w:val="none"/>
              </w:rPr>
              <w:t>c.在电子投标文件中，若投标人按照本增列内容第④点第b项规定加盖其单位公章，则出现无全称、或投标人代表未签字等情形，不视为投标无效。</w:t>
            </w:r>
          </w:p>
          <w:p w14:paraId="5F6E0149">
            <w:pPr>
              <w:pStyle w:val="4"/>
              <w:jc w:val="left"/>
              <w:rPr>
                <w:highlight w:val="none"/>
              </w:rPr>
            </w:pPr>
            <w:r>
              <w:rPr>
                <w:rFonts w:ascii="仿宋_GB2312" w:hAnsi="仿宋_GB2312" w:eastAsia="仿宋_GB2312" w:cs="仿宋_GB2312"/>
                <w:highlight w:val="none"/>
              </w:rPr>
              <w:t>⑤关于投标人的CA证书：</w:t>
            </w:r>
          </w:p>
          <w:p w14:paraId="49BC2B47">
            <w:pPr>
              <w:pStyle w:val="4"/>
              <w:jc w:val="left"/>
              <w:rPr>
                <w:highlight w:val="none"/>
              </w:rPr>
            </w:pPr>
            <w:r>
              <w:rPr>
                <w:rFonts w:ascii="仿宋_GB2312" w:hAnsi="仿宋_GB2312" w:eastAsia="仿宋_GB2312" w:cs="仿宋_GB2312"/>
                <w:highlight w:val="none"/>
              </w:rPr>
              <w:t>a.投标人的CA证书应在系统规定时间内使用CA证书进行电子投标文件的解密操作，逾期未解密的视为放弃投标。</w:t>
            </w:r>
          </w:p>
          <w:p w14:paraId="497F9B36">
            <w:pPr>
              <w:pStyle w:val="4"/>
              <w:jc w:val="left"/>
              <w:rPr>
                <w:highlight w:val="none"/>
              </w:rPr>
            </w:pPr>
            <w:r>
              <w:rPr>
                <w:rFonts w:ascii="仿宋_GB2312" w:hAnsi="仿宋_GB2312" w:eastAsia="仿宋_GB2312" w:cs="仿宋_GB2312"/>
                <w:highlight w:val="none"/>
              </w:rPr>
              <w:t>b.投标人的CA证书可采用信封（包括但不限于：信封、档案袋、文件袋等）作为外包装进行单独包装。外包装密封、不密封皆可。</w:t>
            </w:r>
          </w:p>
          <w:p w14:paraId="1C7D627F">
            <w:pPr>
              <w:pStyle w:val="4"/>
              <w:jc w:val="left"/>
              <w:rPr>
                <w:highlight w:val="none"/>
              </w:rPr>
            </w:pPr>
            <w:r>
              <w:rPr>
                <w:rFonts w:ascii="仿宋_GB2312" w:hAnsi="仿宋_GB2312" w:eastAsia="仿宋_GB2312" w:cs="仿宋_GB2312"/>
                <w:highlight w:val="none"/>
              </w:rPr>
              <w:t>c.投标人的CA证书或外包装应标记“项目名称、项目编号、投标人的全称”等内容，以方便识别、使用。</w:t>
            </w:r>
          </w:p>
          <w:p w14:paraId="45A36DF1">
            <w:pPr>
              <w:pStyle w:val="4"/>
              <w:jc w:val="left"/>
              <w:rPr>
                <w:highlight w:val="none"/>
              </w:rPr>
            </w:pPr>
            <w:r>
              <w:rPr>
                <w:rFonts w:ascii="仿宋_GB2312" w:hAnsi="仿宋_GB2312" w:eastAsia="仿宋_GB2312" w:cs="仿宋_GB2312"/>
                <w:highlight w:val="none"/>
              </w:rPr>
              <w:t>d.投标人的CA证书应能正常、有效使用，否则产生不利后果由投标人承担责任。</w:t>
            </w:r>
          </w:p>
          <w:p w14:paraId="4E10B7AE">
            <w:pPr>
              <w:pStyle w:val="4"/>
              <w:jc w:val="left"/>
              <w:rPr>
                <w:highlight w:val="none"/>
              </w:rPr>
            </w:pPr>
            <w:r>
              <w:rPr>
                <w:rFonts w:ascii="仿宋_GB2312" w:hAnsi="仿宋_GB2312" w:eastAsia="仿宋_GB2312" w:cs="仿宋_GB2312"/>
                <w:highlight w:val="none"/>
              </w:rPr>
              <w:t>⑥关于投标截止时间过后</w:t>
            </w:r>
          </w:p>
          <w:p w14:paraId="32688E96">
            <w:pPr>
              <w:pStyle w:val="4"/>
              <w:jc w:val="left"/>
              <w:rPr>
                <w:highlight w:val="none"/>
              </w:rPr>
            </w:pPr>
            <w:r>
              <w:rPr>
                <w:rFonts w:ascii="仿宋_GB2312" w:hAnsi="仿宋_GB2312" w:eastAsia="仿宋_GB2312" w:cs="仿宋_GB2312"/>
                <w:highlight w:val="none"/>
              </w:rPr>
              <w:t>a.未按招标文件规定提交投标保证金的，其投标将按无效投标处理。</w:t>
            </w:r>
          </w:p>
          <w:p w14:paraId="46D62F87">
            <w:pPr>
              <w:pStyle w:val="4"/>
              <w:jc w:val="left"/>
              <w:rPr>
                <w:highlight w:val="none"/>
              </w:rPr>
            </w:pPr>
            <w:r>
              <w:rPr>
                <w:rFonts w:ascii="仿宋_GB2312" w:hAnsi="仿宋_GB2312" w:eastAsia="仿宋_GB2312" w:cs="仿宋_GB2312"/>
                <w:highlight w:val="none"/>
              </w:rPr>
              <w:t>b.有下列情形之一的，其投标无效,其保证金不予退还或通过投标保函进行索赔：</w:t>
            </w:r>
          </w:p>
          <w:p w14:paraId="70976825">
            <w:pPr>
              <w:pStyle w:val="4"/>
              <w:jc w:val="left"/>
              <w:rPr>
                <w:highlight w:val="none"/>
              </w:rPr>
            </w:pPr>
            <w:r>
              <w:rPr>
                <w:rFonts w:ascii="仿宋_GB2312" w:hAnsi="仿宋_GB2312" w:eastAsia="仿宋_GB2312" w:cs="仿宋_GB2312"/>
                <w:highlight w:val="none"/>
              </w:rPr>
              <w:t>b1不同投标人的电子投标文件具有相同内部识别码；</w:t>
            </w:r>
          </w:p>
          <w:p w14:paraId="116AD41E">
            <w:pPr>
              <w:pStyle w:val="4"/>
              <w:jc w:val="left"/>
              <w:rPr>
                <w:highlight w:val="none"/>
              </w:rPr>
            </w:pPr>
            <w:r>
              <w:rPr>
                <w:rFonts w:ascii="仿宋_GB2312" w:hAnsi="仿宋_GB2312" w:eastAsia="仿宋_GB2312" w:cs="仿宋_GB2312"/>
                <w:highlight w:val="none"/>
              </w:rPr>
              <w:t>b2不同投标人的投标保证金从同一单位或个人的账户转出；</w:t>
            </w:r>
          </w:p>
          <w:p w14:paraId="20DABA20">
            <w:pPr>
              <w:pStyle w:val="4"/>
              <w:jc w:val="left"/>
              <w:rPr>
                <w:highlight w:val="none"/>
              </w:rPr>
            </w:pPr>
            <w:r>
              <w:rPr>
                <w:rFonts w:ascii="仿宋_GB2312" w:hAnsi="仿宋_GB2312" w:eastAsia="仿宋_GB2312" w:cs="仿宋_GB2312"/>
                <w:highlight w:val="none"/>
              </w:rPr>
              <w:t>b3投标人的投标保证金同一采购包下有其他投标人提交的投标保证金；</w:t>
            </w:r>
          </w:p>
          <w:p w14:paraId="18AC01C5">
            <w:pPr>
              <w:pStyle w:val="4"/>
              <w:jc w:val="left"/>
              <w:rPr>
                <w:highlight w:val="none"/>
              </w:rPr>
            </w:pPr>
            <w:r>
              <w:rPr>
                <w:rFonts w:ascii="仿宋_GB2312" w:hAnsi="仿宋_GB2312" w:eastAsia="仿宋_GB2312" w:cs="仿宋_GB2312"/>
                <w:highlight w:val="none"/>
              </w:rPr>
              <w:t>b4不同投标人存在串通投标的其他情形。</w:t>
            </w:r>
          </w:p>
          <w:p w14:paraId="73D926EE">
            <w:pPr>
              <w:pStyle w:val="4"/>
              <w:jc w:val="left"/>
              <w:rPr>
                <w:highlight w:val="none"/>
              </w:rPr>
            </w:pPr>
            <w:r>
              <w:rPr>
                <w:rFonts w:ascii="仿宋_GB2312" w:hAnsi="仿宋_GB2312" w:eastAsia="仿宋_GB2312" w:cs="仿宋_GB2312"/>
                <w:highlight w:val="none"/>
              </w:rPr>
              <w:t>⑦接受联合体投标且投标人为联合体的，投标人应由“联合体牵头方”完成福建省政府采购网上公开信息系统设定的具体操作流程（包括但不限于：招标文件获取、提交投标保证金、编制电子投标文件等）。</w:t>
            </w:r>
          </w:p>
          <w:p w14:paraId="0A52DD36">
            <w:pPr>
              <w:pStyle w:val="4"/>
              <w:jc w:val="left"/>
              <w:rPr>
                <w:highlight w:val="none"/>
              </w:rPr>
            </w:pPr>
            <w:r>
              <w:rPr>
                <w:rFonts w:ascii="仿宋_GB2312" w:hAnsi="仿宋_GB2312" w:eastAsia="仿宋_GB2312" w:cs="仿宋_GB2312"/>
                <w:highlight w:val="none"/>
              </w:rPr>
              <w:t>⑧其他：</w:t>
            </w:r>
          </w:p>
          <w:p w14:paraId="75C18643">
            <w:pPr>
              <w:pStyle w:val="4"/>
              <w:jc w:val="left"/>
              <w:rPr>
                <w:highlight w:val="none"/>
              </w:rPr>
            </w:pPr>
            <w:r>
              <w:rPr>
                <w:rFonts w:ascii="仿宋_GB2312" w:hAnsi="仿宋_GB2312" w:eastAsia="仿宋_GB2312" w:cs="仿宋_GB2312"/>
                <w:highlight w:val="none"/>
              </w:rPr>
              <w:t>a.投标人应按照招标文件规定的格式要求分三个部分（资格审查部分、技术商务部分、报价部分）进行投标文件的编制，并将三个部分的投标文件各自上传，每个部分均不得再进行拆分后上传或将两个及以上部分合并上传，否则其符合性审查不合格。资格审查部分和技术商务部分中不得出现报价部分的全部或部分的投标报价信息（或组成资料），否则其符合性审查不合格。b.投标人选择远程参加开标会的，出现任何问题由投标人自行承担责任。</w:t>
            </w:r>
          </w:p>
        </w:tc>
      </w:tr>
    </w:tbl>
    <w:p w14:paraId="5200E8A9">
      <w:pPr>
        <w:pStyle w:val="4"/>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491C1CEE">
      <w:pPr>
        <w:pStyle w:val="4"/>
        <w:jc w:val="center"/>
        <w:outlineLvl w:val="1"/>
        <w:rPr>
          <w:highlight w:val="none"/>
        </w:rPr>
      </w:pPr>
      <w:r>
        <w:rPr>
          <w:rFonts w:ascii="仿宋_GB2312" w:hAnsi="仿宋_GB2312" w:eastAsia="仿宋_GB2312" w:cs="仿宋_GB2312"/>
          <w:b/>
          <w:sz w:val="36"/>
          <w:highlight w:val="none"/>
        </w:rPr>
        <w:t>第三章 投标人须知</w:t>
      </w:r>
    </w:p>
    <w:p w14:paraId="73270EA6">
      <w:pPr>
        <w:pStyle w:val="4"/>
        <w:ind w:firstLine="480"/>
        <w:jc w:val="both"/>
        <w:outlineLvl w:val="2"/>
        <w:rPr>
          <w:highlight w:val="none"/>
        </w:rPr>
      </w:pPr>
      <w:r>
        <w:rPr>
          <w:rFonts w:ascii="仿宋_GB2312" w:hAnsi="仿宋_GB2312" w:eastAsia="仿宋_GB2312" w:cs="仿宋_GB2312"/>
          <w:b/>
          <w:sz w:val="28"/>
          <w:highlight w:val="none"/>
        </w:rPr>
        <w:t>一、总则</w:t>
      </w:r>
    </w:p>
    <w:p w14:paraId="70F1A905">
      <w:pPr>
        <w:pStyle w:val="4"/>
        <w:ind w:firstLine="480"/>
        <w:jc w:val="both"/>
        <w:rPr>
          <w:highlight w:val="none"/>
        </w:rPr>
      </w:pPr>
      <w:r>
        <w:rPr>
          <w:rFonts w:ascii="仿宋_GB2312" w:hAnsi="仿宋_GB2312" w:eastAsia="仿宋_GB2312" w:cs="仿宋_GB2312"/>
          <w:highlight w:val="none"/>
        </w:rPr>
        <w:t>1、适用范围</w:t>
      </w:r>
    </w:p>
    <w:p w14:paraId="7B19E0D4">
      <w:pPr>
        <w:pStyle w:val="4"/>
        <w:ind w:firstLine="480"/>
        <w:jc w:val="both"/>
        <w:rPr>
          <w:highlight w:val="none"/>
        </w:rPr>
      </w:pPr>
      <w:r>
        <w:rPr>
          <w:rFonts w:ascii="仿宋_GB2312" w:hAnsi="仿宋_GB2312" w:eastAsia="仿宋_GB2312" w:cs="仿宋_GB2312"/>
          <w:highlight w:val="none"/>
        </w:rPr>
        <w:t>1.1适用于招标文件载明项目的政府采购活动（以下简称：“本次采购活动”）。</w:t>
      </w:r>
    </w:p>
    <w:p w14:paraId="247B91E8">
      <w:pPr>
        <w:pStyle w:val="4"/>
        <w:ind w:firstLine="480"/>
        <w:jc w:val="both"/>
        <w:rPr>
          <w:highlight w:val="none"/>
        </w:rPr>
      </w:pPr>
      <w:r>
        <w:rPr>
          <w:rFonts w:ascii="仿宋_GB2312" w:hAnsi="仿宋_GB2312" w:eastAsia="仿宋_GB2312" w:cs="仿宋_GB2312"/>
          <w:highlight w:val="none"/>
        </w:rPr>
        <w:t>2、定义</w:t>
      </w:r>
    </w:p>
    <w:p w14:paraId="24E798DC">
      <w:pPr>
        <w:pStyle w:val="4"/>
        <w:ind w:firstLine="480"/>
        <w:jc w:val="both"/>
        <w:rPr>
          <w:highlight w:val="none"/>
        </w:rPr>
      </w:pPr>
      <w:r>
        <w:rPr>
          <w:rFonts w:ascii="仿宋_GB2312" w:hAnsi="仿宋_GB2312" w:eastAsia="仿宋_GB2312" w:cs="仿宋_GB2312"/>
          <w:highlight w:val="none"/>
        </w:rPr>
        <w:t>2.1“采购标的”指招标文件载明的需要采购的货物或服务。</w:t>
      </w:r>
    </w:p>
    <w:p w14:paraId="19A41DC1">
      <w:pPr>
        <w:pStyle w:val="4"/>
        <w:ind w:firstLine="480"/>
        <w:jc w:val="both"/>
        <w:rPr>
          <w:highlight w:val="none"/>
        </w:rPr>
      </w:pPr>
      <w:r>
        <w:rPr>
          <w:rFonts w:ascii="仿宋_GB2312" w:hAnsi="仿宋_GB2312" w:eastAsia="仿宋_GB2312" w:cs="仿宋_GB2312"/>
          <w:highlight w:val="none"/>
        </w:rPr>
        <w:t>2.2“潜在投标人”指按照招标文件第一章第7条规定获取招标文件且有意向参加本项目投标的供应商。</w:t>
      </w:r>
    </w:p>
    <w:p w14:paraId="3B499037">
      <w:pPr>
        <w:pStyle w:val="4"/>
        <w:ind w:firstLine="480"/>
        <w:jc w:val="both"/>
        <w:rPr>
          <w:highlight w:val="none"/>
        </w:rPr>
      </w:pPr>
      <w:r>
        <w:rPr>
          <w:rFonts w:ascii="仿宋_GB2312" w:hAnsi="仿宋_GB2312" w:eastAsia="仿宋_GB2312" w:cs="仿宋_GB2312"/>
          <w:highlight w:val="none"/>
        </w:rPr>
        <w:t>2.3“投标人”指按照招标文件第一章第7条规定获取招标文件并参加本项目投标的供应商。</w:t>
      </w:r>
    </w:p>
    <w:p w14:paraId="2D267F4A">
      <w:pPr>
        <w:pStyle w:val="4"/>
        <w:ind w:firstLine="480"/>
        <w:jc w:val="both"/>
        <w:rPr>
          <w:highlight w:val="none"/>
        </w:rPr>
      </w:pPr>
      <w:r>
        <w:rPr>
          <w:rFonts w:ascii="仿宋_GB2312" w:hAnsi="仿宋_GB2312" w:eastAsia="仿宋_GB2312" w:cs="仿宋_GB2312"/>
          <w:highlight w:val="none"/>
        </w:rPr>
        <w:t>2.4“单位负责人”指单位法定代表人或法律、法规规定代表单位行使职权的主要负责人。</w:t>
      </w:r>
    </w:p>
    <w:p w14:paraId="133D659E">
      <w:pPr>
        <w:pStyle w:val="4"/>
        <w:ind w:firstLine="480"/>
        <w:jc w:val="both"/>
        <w:rPr>
          <w:highlight w:val="none"/>
        </w:rPr>
      </w:pPr>
      <w:r>
        <w:rPr>
          <w:rFonts w:ascii="仿宋_GB2312" w:hAnsi="仿宋_GB2312" w:eastAsia="仿宋_GB2312" w:cs="仿宋_GB2312"/>
          <w:highlight w:val="none"/>
        </w:rPr>
        <w:t>2.5“投标人代表”指投标人的单位负责人或“单位负责人授权书”中载明的接受授权方。</w:t>
      </w:r>
    </w:p>
    <w:p w14:paraId="3960ED6F">
      <w:pPr>
        <w:pStyle w:val="4"/>
        <w:ind w:firstLine="480"/>
        <w:jc w:val="both"/>
        <w:outlineLvl w:val="2"/>
        <w:rPr>
          <w:highlight w:val="none"/>
        </w:rPr>
      </w:pPr>
      <w:r>
        <w:rPr>
          <w:rFonts w:ascii="仿宋_GB2312" w:hAnsi="仿宋_GB2312" w:eastAsia="仿宋_GB2312" w:cs="仿宋_GB2312"/>
          <w:b/>
          <w:sz w:val="28"/>
          <w:highlight w:val="none"/>
        </w:rPr>
        <w:t>二、投标人</w:t>
      </w:r>
    </w:p>
    <w:p w14:paraId="1B9FEC93">
      <w:pPr>
        <w:pStyle w:val="4"/>
        <w:ind w:firstLine="480"/>
        <w:jc w:val="both"/>
        <w:rPr>
          <w:highlight w:val="none"/>
        </w:rPr>
      </w:pPr>
      <w:r>
        <w:rPr>
          <w:rFonts w:ascii="仿宋_GB2312" w:hAnsi="仿宋_GB2312" w:eastAsia="仿宋_GB2312" w:cs="仿宋_GB2312"/>
          <w:highlight w:val="none"/>
        </w:rPr>
        <w:t>3、合格投标人</w:t>
      </w:r>
    </w:p>
    <w:p w14:paraId="41025DB7">
      <w:pPr>
        <w:pStyle w:val="4"/>
        <w:ind w:firstLine="480"/>
        <w:jc w:val="both"/>
        <w:rPr>
          <w:highlight w:val="none"/>
        </w:rPr>
      </w:pPr>
      <w:r>
        <w:rPr>
          <w:rFonts w:ascii="仿宋_GB2312" w:hAnsi="仿宋_GB2312" w:eastAsia="仿宋_GB2312" w:cs="仿宋_GB2312"/>
          <w:highlight w:val="none"/>
        </w:rPr>
        <w:t>3.1一般规定</w:t>
      </w:r>
    </w:p>
    <w:p w14:paraId="44CA9E96">
      <w:pPr>
        <w:pStyle w:val="4"/>
        <w:ind w:firstLine="480"/>
        <w:jc w:val="both"/>
        <w:rPr>
          <w:highlight w:val="none"/>
        </w:rPr>
      </w:pPr>
      <w:r>
        <w:rPr>
          <w:rFonts w:ascii="仿宋_GB2312" w:hAnsi="仿宋_GB2312" w:eastAsia="仿宋_GB2312" w:cs="仿宋_GB2312"/>
          <w:highlight w:val="none"/>
        </w:rPr>
        <w:t>（1）投标人应遵守政府采购法及实施条例、政府采购招投标管理办法、政府采购质疑和投诉办法及财政部、福建省财政厅有关政府采购文件的规定，同时还应遵守《中华人民共和国劳动合同法》有关规定和《中华人民共和国妇女权益保障法》中关于“劳动和社会保障权益”的有关要求以及其他有关法律、法规和规章的强制性规定。</w:t>
      </w:r>
    </w:p>
    <w:p w14:paraId="37C55FAB">
      <w:pPr>
        <w:pStyle w:val="4"/>
        <w:ind w:firstLine="480"/>
        <w:jc w:val="left"/>
        <w:rPr>
          <w:highlight w:val="none"/>
        </w:rPr>
      </w:pPr>
      <w:r>
        <w:rPr>
          <w:rFonts w:ascii="仿宋_GB2312" w:hAnsi="仿宋_GB2312" w:eastAsia="仿宋_GB2312" w:cs="仿宋_GB2312"/>
          <w:highlight w:val="none"/>
        </w:rPr>
        <w:t>投标人对提供福建省政府采购供应商资格承诺函及所承诺事项的真实性、合法性及有效性负责，并已知晓所提供资格承诺函内容不实的，可能涉嫌《中华人民共和国政府采购法》第七十七条第一款第(一)项规定的“提供虚假材料谋取中标成交”违法情形。经调查属实的，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481D44F3">
      <w:pPr>
        <w:pStyle w:val="4"/>
        <w:ind w:firstLine="480"/>
        <w:jc w:val="both"/>
        <w:rPr>
          <w:highlight w:val="none"/>
        </w:rPr>
      </w:pPr>
      <w:r>
        <w:rPr>
          <w:rFonts w:ascii="仿宋_GB2312" w:hAnsi="仿宋_GB2312" w:eastAsia="仿宋_GB2312" w:cs="仿宋_GB2312"/>
          <w:highlight w:val="none"/>
        </w:rPr>
        <w:t>（2）投标人的资格要求：详见招标文件第一章。</w:t>
      </w:r>
    </w:p>
    <w:p w14:paraId="12A71D38">
      <w:pPr>
        <w:pStyle w:val="4"/>
        <w:ind w:firstLine="480"/>
        <w:jc w:val="both"/>
        <w:rPr>
          <w:highlight w:val="none"/>
        </w:rPr>
      </w:pPr>
      <w:r>
        <w:rPr>
          <w:rFonts w:ascii="仿宋_GB2312" w:hAnsi="仿宋_GB2312" w:eastAsia="仿宋_GB2312" w:cs="仿宋_GB2312"/>
          <w:highlight w:val="none"/>
        </w:rPr>
        <w:t>3.2若本项目接受联合体投标且投标人为联合体，则联合体各方应遵守本章第3.1条规定，同时还应遵守下列规定：</w:t>
      </w:r>
    </w:p>
    <w:p w14:paraId="10C6DB0D">
      <w:pPr>
        <w:pStyle w:val="4"/>
        <w:ind w:firstLine="480"/>
        <w:jc w:val="both"/>
        <w:rPr>
          <w:highlight w:val="none"/>
        </w:rPr>
      </w:pPr>
      <w:r>
        <w:rPr>
          <w:rFonts w:ascii="仿宋_GB2312" w:hAnsi="仿宋_GB2312" w:eastAsia="仿宋_GB2312" w:cs="仿宋_GB2312"/>
          <w:highlight w:val="none"/>
        </w:rPr>
        <w:t>（1）联合体各方应提交联合体协议，联合体协议应符合招标文件规定。</w:t>
      </w:r>
    </w:p>
    <w:p w14:paraId="0A68BB00">
      <w:pPr>
        <w:pStyle w:val="4"/>
        <w:ind w:firstLine="480"/>
        <w:jc w:val="both"/>
        <w:rPr>
          <w:highlight w:val="none"/>
        </w:rPr>
      </w:pPr>
      <w:r>
        <w:rPr>
          <w:rFonts w:ascii="仿宋_GB2312" w:hAnsi="仿宋_GB2312" w:eastAsia="仿宋_GB2312" w:cs="仿宋_GB2312"/>
          <w:highlight w:val="none"/>
        </w:rPr>
        <w:t>（2）联合体各方不得再单独参加或与其他供应商另外组成联合体参加同一合同项下的投标。</w:t>
      </w:r>
    </w:p>
    <w:p w14:paraId="16ED695D">
      <w:pPr>
        <w:pStyle w:val="4"/>
        <w:ind w:firstLine="480"/>
        <w:jc w:val="both"/>
        <w:rPr>
          <w:highlight w:val="none"/>
        </w:rPr>
      </w:pPr>
      <w:r>
        <w:rPr>
          <w:rFonts w:ascii="仿宋_GB2312" w:hAnsi="仿宋_GB2312" w:eastAsia="仿宋_GB2312" w:cs="仿宋_GB2312"/>
          <w:highlight w:val="none"/>
        </w:rPr>
        <w:t>（3）联合体各方应共同与采购人签订政府采购合同，就政府采购合同约定的事项对采购人承担连带责任。</w:t>
      </w:r>
    </w:p>
    <w:p w14:paraId="58F49D22">
      <w:pPr>
        <w:pStyle w:val="4"/>
        <w:ind w:firstLine="480"/>
        <w:jc w:val="both"/>
        <w:rPr>
          <w:highlight w:val="none"/>
        </w:rPr>
      </w:pPr>
      <w:r>
        <w:rPr>
          <w:rFonts w:ascii="仿宋_GB2312" w:hAnsi="仿宋_GB2312" w:eastAsia="仿宋_GB2312" w:cs="仿宋_GB2312"/>
          <w:highlight w:val="none"/>
        </w:rPr>
        <w:t>（4）项目如涉及资质要求，该部分工作内容应由联合体中符合该资质要求的供应商承担，联合体协议及签订的采购合同应符合这一要求；联合体中有同类资质的供应商按照联合体分工承担相同工作的，应当按照资质等级较低的供应商确定资质等级。</w:t>
      </w:r>
    </w:p>
    <w:p w14:paraId="1B4B39A0">
      <w:pPr>
        <w:pStyle w:val="4"/>
        <w:ind w:firstLine="480"/>
        <w:jc w:val="both"/>
        <w:rPr>
          <w:highlight w:val="none"/>
        </w:rPr>
      </w:pPr>
      <w:r>
        <w:rPr>
          <w:rFonts w:ascii="仿宋_GB2312" w:hAnsi="仿宋_GB2312" w:eastAsia="仿宋_GB2312" w:cs="仿宋_GB2312"/>
          <w:highlight w:val="none"/>
        </w:rPr>
        <w:t>（5）联合体一方放弃中标的，视为联合体整体放弃中标，联合体各方承担连带责任。</w:t>
      </w:r>
    </w:p>
    <w:p w14:paraId="75BA9302">
      <w:pPr>
        <w:pStyle w:val="4"/>
        <w:ind w:firstLine="480"/>
        <w:jc w:val="both"/>
        <w:rPr>
          <w:highlight w:val="none"/>
        </w:rPr>
      </w:pPr>
      <w:r>
        <w:rPr>
          <w:rFonts w:ascii="仿宋_GB2312" w:hAnsi="仿宋_GB2312" w:eastAsia="仿宋_GB2312" w:cs="仿宋_GB2312"/>
          <w:highlight w:val="none"/>
        </w:rPr>
        <w:t>（6）如本项目不接受联合体投标而投标人为联合体的，或者本项目接受联合体投标但投标人组成的联合体不符合本章第3.2条规定的，投标无效。</w:t>
      </w:r>
    </w:p>
    <w:p w14:paraId="01F42D7E">
      <w:pPr>
        <w:pStyle w:val="4"/>
        <w:ind w:firstLine="480"/>
        <w:jc w:val="both"/>
        <w:rPr>
          <w:highlight w:val="none"/>
        </w:rPr>
      </w:pPr>
      <w:r>
        <w:rPr>
          <w:rFonts w:ascii="仿宋_GB2312" w:hAnsi="仿宋_GB2312" w:eastAsia="仿宋_GB2312" w:cs="仿宋_GB2312"/>
          <w:highlight w:val="none"/>
        </w:rPr>
        <w:t>4、投标费用</w:t>
      </w:r>
    </w:p>
    <w:p w14:paraId="08EF03FD">
      <w:pPr>
        <w:pStyle w:val="4"/>
        <w:ind w:firstLine="480"/>
        <w:jc w:val="both"/>
        <w:rPr>
          <w:highlight w:val="none"/>
        </w:rPr>
      </w:pPr>
      <w:r>
        <w:rPr>
          <w:rFonts w:ascii="仿宋_GB2312" w:hAnsi="仿宋_GB2312" w:eastAsia="仿宋_GB2312" w:cs="仿宋_GB2312"/>
          <w:highlight w:val="none"/>
        </w:rPr>
        <w:t>4.1除招标文件另有规定外，投标人应自行承担其参加本项目投标所涉及的一切费用。</w:t>
      </w:r>
    </w:p>
    <w:p w14:paraId="21F09B0D">
      <w:pPr>
        <w:pStyle w:val="4"/>
        <w:ind w:firstLine="480"/>
        <w:jc w:val="both"/>
        <w:outlineLvl w:val="2"/>
        <w:rPr>
          <w:highlight w:val="none"/>
        </w:rPr>
      </w:pPr>
      <w:r>
        <w:rPr>
          <w:rFonts w:ascii="仿宋_GB2312" w:hAnsi="仿宋_GB2312" w:eastAsia="仿宋_GB2312" w:cs="仿宋_GB2312"/>
          <w:b/>
          <w:sz w:val="28"/>
          <w:highlight w:val="none"/>
        </w:rPr>
        <w:t>三、招标</w:t>
      </w:r>
    </w:p>
    <w:p w14:paraId="5C31BEB3">
      <w:pPr>
        <w:pStyle w:val="4"/>
        <w:ind w:firstLine="480"/>
        <w:jc w:val="both"/>
        <w:rPr>
          <w:highlight w:val="none"/>
        </w:rPr>
      </w:pPr>
      <w:r>
        <w:rPr>
          <w:rFonts w:ascii="仿宋_GB2312" w:hAnsi="仿宋_GB2312" w:eastAsia="仿宋_GB2312" w:cs="仿宋_GB2312"/>
          <w:highlight w:val="none"/>
        </w:rPr>
        <w:t>5、招标文件</w:t>
      </w:r>
    </w:p>
    <w:p w14:paraId="1FAB3481">
      <w:pPr>
        <w:pStyle w:val="4"/>
        <w:ind w:firstLine="480"/>
        <w:jc w:val="both"/>
        <w:rPr>
          <w:highlight w:val="none"/>
        </w:rPr>
      </w:pPr>
      <w:r>
        <w:rPr>
          <w:rFonts w:ascii="仿宋_GB2312" w:hAnsi="仿宋_GB2312" w:eastAsia="仿宋_GB2312" w:cs="仿宋_GB2312"/>
          <w:highlight w:val="none"/>
        </w:rPr>
        <w:t>5.1招标文件由下述部分组成：</w:t>
      </w:r>
    </w:p>
    <w:p w14:paraId="388A5A90">
      <w:pPr>
        <w:pStyle w:val="4"/>
        <w:ind w:firstLine="480"/>
        <w:jc w:val="both"/>
        <w:rPr>
          <w:highlight w:val="none"/>
        </w:rPr>
      </w:pPr>
      <w:r>
        <w:rPr>
          <w:rFonts w:ascii="仿宋_GB2312" w:hAnsi="仿宋_GB2312" w:eastAsia="仿宋_GB2312" w:cs="仿宋_GB2312"/>
          <w:highlight w:val="none"/>
        </w:rPr>
        <w:t>（1）投标邀请</w:t>
      </w:r>
    </w:p>
    <w:p w14:paraId="1992D396">
      <w:pPr>
        <w:pStyle w:val="4"/>
        <w:ind w:firstLine="480"/>
        <w:jc w:val="both"/>
        <w:rPr>
          <w:highlight w:val="none"/>
        </w:rPr>
      </w:pPr>
      <w:r>
        <w:rPr>
          <w:rFonts w:ascii="仿宋_GB2312" w:hAnsi="仿宋_GB2312" w:eastAsia="仿宋_GB2312" w:cs="仿宋_GB2312"/>
          <w:highlight w:val="none"/>
        </w:rPr>
        <w:t>（2）投标人须知前附表（表1、2）</w:t>
      </w:r>
    </w:p>
    <w:p w14:paraId="50CBE045">
      <w:pPr>
        <w:pStyle w:val="4"/>
        <w:ind w:firstLine="480"/>
        <w:jc w:val="both"/>
        <w:rPr>
          <w:highlight w:val="none"/>
        </w:rPr>
      </w:pPr>
      <w:r>
        <w:rPr>
          <w:rFonts w:ascii="仿宋_GB2312" w:hAnsi="仿宋_GB2312" w:eastAsia="仿宋_GB2312" w:cs="仿宋_GB2312"/>
          <w:highlight w:val="none"/>
        </w:rPr>
        <w:t>（3）投标人须知</w:t>
      </w:r>
    </w:p>
    <w:p w14:paraId="6A4616EF">
      <w:pPr>
        <w:pStyle w:val="4"/>
        <w:ind w:firstLine="480"/>
        <w:jc w:val="both"/>
        <w:rPr>
          <w:highlight w:val="none"/>
        </w:rPr>
      </w:pPr>
      <w:r>
        <w:rPr>
          <w:rFonts w:ascii="仿宋_GB2312" w:hAnsi="仿宋_GB2312" w:eastAsia="仿宋_GB2312" w:cs="仿宋_GB2312"/>
          <w:highlight w:val="none"/>
        </w:rPr>
        <w:t>（4）资格审查与评标</w:t>
      </w:r>
    </w:p>
    <w:p w14:paraId="081204EF">
      <w:pPr>
        <w:pStyle w:val="4"/>
        <w:ind w:firstLine="480"/>
        <w:jc w:val="both"/>
        <w:rPr>
          <w:highlight w:val="none"/>
        </w:rPr>
      </w:pPr>
      <w:r>
        <w:rPr>
          <w:rFonts w:ascii="仿宋_GB2312" w:hAnsi="仿宋_GB2312" w:eastAsia="仿宋_GB2312" w:cs="仿宋_GB2312"/>
          <w:highlight w:val="none"/>
        </w:rPr>
        <w:t>（5）招标内容及要求</w:t>
      </w:r>
    </w:p>
    <w:p w14:paraId="4919121A">
      <w:pPr>
        <w:pStyle w:val="4"/>
        <w:ind w:firstLine="480"/>
        <w:jc w:val="both"/>
        <w:rPr>
          <w:highlight w:val="none"/>
        </w:rPr>
      </w:pPr>
      <w:r>
        <w:rPr>
          <w:rFonts w:ascii="仿宋_GB2312" w:hAnsi="仿宋_GB2312" w:eastAsia="仿宋_GB2312" w:cs="仿宋_GB2312"/>
          <w:highlight w:val="none"/>
        </w:rPr>
        <w:t>（6）政府采购合同（参考文本）</w:t>
      </w:r>
    </w:p>
    <w:p w14:paraId="03BB1F72">
      <w:pPr>
        <w:pStyle w:val="4"/>
        <w:ind w:firstLine="480"/>
        <w:jc w:val="both"/>
        <w:rPr>
          <w:highlight w:val="none"/>
        </w:rPr>
      </w:pPr>
      <w:r>
        <w:rPr>
          <w:rFonts w:ascii="仿宋_GB2312" w:hAnsi="仿宋_GB2312" w:eastAsia="仿宋_GB2312" w:cs="仿宋_GB2312"/>
          <w:highlight w:val="none"/>
        </w:rPr>
        <w:t>（7）电子投标文件格式</w:t>
      </w:r>
    </w:p>
    <w:p w14:paraId="7CE505D4">
      <w:pPr>
        <w:pStyle w:val="4"/>
        <w:ind w:firstLine="480"/>
        <w:jc w:val="both"/>
        <w:rPr>
          <w:highlight w:val="none"/>
        </w:rPr>
      </w:pPr>
      <w:r>
        <w:rPr>
          <w:rFonts w:ascii="仿宋_GB2312" w:hAnsi="仿宋_GB2312" w:eastAsia="仿宋_GB2312" w:cs="仿宋_GB2312"/>
          <w:highlight w:val="none"/>
        </w:rPr>
        <w:t>（8）按照招标文件规定作为招标文件组成部分的其他内容（若有）</w:t>
      </w:r>
    </w:p>
    <w:p w14:paraId="2FEC1E0B">
      <w:pPr>
        <w:pStyle w:val="4"/>
        <w:ind w:firstLine="480"/>
        <w:jc w:val="both"/>
        <w:rPr>
          <w:highlight w:val="none"/>
        </w:rPr>
      </w:pPr>
      <w:r>
        <w:rPr>
          <w:rFonts w:ascii="仿宋_GB2312" w:hAnsi="仿宋_GB2312" w:eastAsia="仿宋_GB2312" w:cs="仿宋_GB2312"/>
          <w:highlight w:val="none"/>
        </w:rPr>
        <w:t>5.2招标文件的澄清或修改</w:t>
      </w:r>
    </w:p>
    <w:p w14:paraId="0D66FA56">
      <w:pPr>
        <w:pStyle w:val="4"/>
        <w:ind w:firstLine="480"/>
        <w:jc w:val="both"/>
        <w:rPr>
          <w:highlight w:val="none"/>
        </w:rPr>
      </w:pPr>
      <w:r>
        <w:rPr>
          <w:rFonts w:ascii="仿宋_GB2312" w:hAnsi="仿宋_GB2312" w:eastAsia="仿宋_GB2312" w:cs="仿宋_GB2312"/>
          <w:highlight w:val="none"/>
        </w:rPr>
        <w:t>（1） 福建省公共资源交易中心 可对已发出的招标文件进行必要的澄清或修改，但不得对招标文件载明的采购标的和投标人的资格要求进行改变。</w:t>
      </w:r>
    </w:p>
    <w:p w14:paraId="6E5C03D2">
      <w:pPr>
        <w:pStyle w:val="4"/>
        <w:ind w:firstLine="480"/>
        <w:jc w:val="both"/>
        <w:rPr>
          <w:highlight w:val="none"/>
        </w:rPr>
      </w:pPr>
      <w:r>
        <w:rPr>
          <w:rFonts w:ascii="仿宋_GB2312" w:hAnsi="仿宋_GB2312" w:eastAsia="仿宋_GB2312" w:cs="仿宋_GB2312"/>
          <w:highlight w:val="none"/>
        </w:rPr>
        <w:t>（2）除本章第5.2条第（3）款规定情形外，澄清或修改的内容可能影响电子投标文件编制的， 福建省公共资源交易中心 将在投标截止时间至少15个日历日前，在招标文件载明的指定媒体以更正公告的形式发布澄清或修改的内容。不足15个日历日的， 福建省公共资源交易中心 将顺延投标截止时间及开标时间， 福建省公共资源交易中心 和投标人受原投标截止时间及开标时间制约的所有权利和义务均延长至新的投标截止时间及开标时间。</w:t>
      </w:r>
    </w:p>
    <w:p w14:paraId="2A427CD2">
      <w:pPr>
        <w:pStyle w:val="4"/>
        <w:ind w:firstLine="480"/>
        <w:jc w:val="both"/>
        <w:rPr>
          <w:highlight w:val="none"/>
        </w:rPr>
      </w:pPr>
      <w:r>
        <w:rPr>
          <w:rFonts w:ascii="仿宋_GB2312" w:hAnsi="仿宋_GB2312" w:eastAsia="仿宋_GB2312" w:cs="仿宋_GB2312"/>
          <w:highlight w:val="none"/>
        </w:rPr>
        <w:t>（3）澄清或修改的内容可能改变招标文件载明的采购标的和投标人的资格要求的，本次采购活动结束， 福建省公共资源交易中心 将依法组织后续采购活动（包括但不限于：重新招标、采用其他方式采购等）。</w:t>
      </w:r>
    </w:p>
    <w:p w14:paraId="0C8CF728">
      <w:pPr>
        <w:pStyle w:val="4"/>
        <w:ind w:firstLine="480"/>
        <w:jc w:val="both"/>
        <w:rPr>
          <w:highlight w:val="none"/>
        </w:rPr>
      </w:pPr>
      <w:r>
        <w:rPr>
          <w:rFonts w:ascii="仿宋_GB2312" w:hAnsi="仿宋_GB2312" w:eastAsia="仿宋_GB2312" w:cs="仿宋_GB2312"/>
          <w:highlight w:val="none"/>
        </w:rPr>
        <w:t>6、现场考察或开标前答疑会</w:t>
      </w:r>
    </w:p>
    <w:p w14:paraId="065E366F">
      <w:pPr>
        <w:pStyle w:val="4"/>
        <w:ind w:firstLine="480"/>
        <w:jc w:val="both"/>
        <w:rPr>
          <w:highlight w:val="none"/>
        </w:rPr>
      </w:pPr>
      <w:r>
        <w:rPr>
          <w:rFonts w:ascii="仿宋_GB2312" w:hAnsi="仿宋_GB2312" w:eastAsia="仿宋_GB2312" w:cs="仿宋_GB2312"/>
          <w:highlight w:val="none"/>
        </w:rPr>
        <w:t>6.1是否组织现场考察或召开开标前答疑会：详见招标文件第二章。</w:t>
      </w:r>
    </w:p>
    <w:p w14:paraId="7617BD95">
      <w:pPr>
        <w:pStyle w:val="4"/>
        <w:ind w:firstLine="480"/>
        <w:jc w:val="both"/>
        <w:rPr>
          <w:highlight w:val="none"/>
        </w:rPr>
      </w:pPr>
      <w:r>
        <w:rPr>
          <w:rFonts w:ascii="仿宋_GB2312" w:hAnsi="仿宋_GB2312" w:eastAsia="仿宋_GB2312" w:cs="仿宋_GB2312"/>
          <w:highlight w:val="none"/>
        </w:rPr>
        <w:t>7、更正公告</w:t>
      </w:r>
    </w:p>
    <w:p w14:paraId="184E7E8E">
      <w:pPr>
        <w:pStyle w:val="4"/>
        <w:ind w:firstLine="480"/>
        <w:jc w:val="both"/>
        <w:rPr>
          <w:highlight w:val="none"/>
        </w:rPr>
      </w:pPr>
      <w:r>
        <w:rPr>
          <w:rFonts w:ascii="仿宋_GB2312" w:hAnsi="仿宋_GB2312" w:eastAsia="仿宋_GB2312" w:cs="仿宋_GB2312"/>
          <w:highlight w:val="none"/>
        </w:rPr>
        <w:t>7.1若 福建省公共资源交易中心 发布更正公告，则更正公告及其所发布的内容或信息（包括但不限于：招标文件的澄清或修改、现场考察或答疑会的有关事宜等）作为招标文件组成部分，对投标人具有约束力。</w:t>
      </w:r>
    </w:p>
    <w:p w14:paraId="554414F7">
      <w:pPr>
        <w:pStyle w:val="4"/>
        <w:ind w:firstLine="480"/>
        <w:jc w:val="both"/>
        <w:rPr>
          <w:highlight w:val="none"/>
        </w:rPr>
      </w:pPr>
      <w:r>
        <w:rPr>
          <w:rFonts w:ascii="仿宋_GB2312" w:hAnsi="仿宋_GB2312" w:eastAsia="仿宋_GB2312" w:cs="仿宋_GB2312"/>
          <w:highlight w:val="none"/>
        </w:rPr>
        <w:t>7.2更正公告作为 福建省公共资源交易中心 通知所有潜在投标人的书面形式。</w:t>
      </w:r>
    </w:p>
    <w:p w14:paraId="1D7FAA37">
      <w:pPr>
        <w:pStyle w:val="4"/>
        <w:ind w:firstLine="480"/>
        <w:jc w:val="both"/>
        <w:rPr>
          <w:highlight w:val="none"/>
        </w:rPr>
      </w:pPr>
      <w:r>
        <w:rPr>
          <w:rFonts w:ascii="仿宋_GB2312" w:hAnsi="仿宋_GB2312" w:eastAsia="仿宋_GB2312" w:cs="仿宋_GB2312"/>
          <w:highlight w:val="none"/>
        </w:rPr>
        <w:t>8、终止公告</w:t>
      </w:r>
    </w:p>
    <w:p w14:paraId="2AA135C2">
      <w:pPr>
        <w:pStyle w:val="4"/>
        <w:ind w:firstLine="480"/>
        <w:jc w:val="both"/>
        <w:rPr>
          <w:highlight w:val="none"/>
        </w:rPr>
      </w:pPr>
      <w:r>
        <w:rPr>
          <w:rFonts w:ascii="仿宋_GB2312" w:hAnsi="仿宋_GB2312" w:eastAsia="仿宋_GB2312" w:cs="仿宋_GB2312"/>
          <w:highlight w:val="none"/>
        </w:rPr>
        <w:t>8.1若出现因重大变故导致采购任务取消情形， 福建省公共资源交易中心 可终止招标并发布终止公告。</w:t>
      </w:r>
    </w:p>
    <w:p w14:paraId="59590073">
      <w:pPr>
        <w:pStyle w:val="4"/>
        <w:ind w:firstLine="480"/>
        <w:jc w:val="both"/>
        <w:rPr>
          <w:highlight w:val="none"/>
        </w:rPr>
      </w:pPr>
      <w:r>
        <w:rPr>
          <w:rFonts w:ascii="仿宋_GB2312" w:hAnsi="仿宋_GB2312" w:eastAsia="仿宋_GB2312" w:cs="仿宋_GB2312"/>
          <w:highlight w:val="none"/>
        </w:rPr>
        <w:t>8.2终止公告作为 福建省公共资源交易中心 通知所有潜在投标人的书面形式。</w:t>
      </w:r>
    </w:p>
    <w:p w14:paraId="60011676">
      <w:pPr>
        <w:pStyle w:val="4"/>
        <w:ind w:firstLine="480"/>
        <w:jc w:val="both"/>
        <w:outlineLvl w:val="2"/>
        <w:rPr>
          <w:highlight w:val="none"/>
        </w:rPr>
      </w:pPr>
      <w:r>
        <w:rPr>
          <w:rFonts w:ascii="仿宋_GB2312" w:hAnsi="仿宋_GB2312" w:eastAsia="仿宋_GB2312" w:cs="仿宋_GB2312"/>
          <w:b/>
          <w:sz w:val="28"/>
          <w:highlight w:val="none"/>
        </w:rPr>
        <w:t>四、投标</w:t>
      </w:r>
    </w:p>
    <w:p w14:paraId="42E12D3E">
      <w:pPr>
        <w:pStyle w:val="4"/>
        <w:ind w:firstLine="480"/>
        <w:jc w:val="both"/>
        <w:rPr>
          <w:highlight w:val="none"/>
        </w:rPr>
      </w:pPr>
      <w:r>
        <w:rPr>
          <w:rFonts w:ascii="仿宋_GB2312" w:hAnsi="仿宋_GB2312" w:eastAsia="仿宋_GB2312" w:cs="仿宋_GB2312"/>
          <w:highlight w:val="none"/>
        </w:rPr>
        <w:t>9、投标</w:t>
      </w:r>
    </w:p>
    <w:p w14:paraId="58C48B8D">
      <w:pPr>
        <w:pStyle w:val="4"/>
        <w:ind w:firstLine="480"/>
        <w:jc w:val="both"/>
        <w:rPr>
          <w:highlight w:val="none"/>
        </w:rPr>
      </w:pPr>
      <w:r>
        <w:rPr>
          <w:rFonts w:ascii="仿宋_GB2312" w:hAnsi="仿宋_GB2312" w:eastAsia="仿宋_GB2312" w:cs="仿宋_GB2312"/>
          <w:highlight w:val="none"/>
        </w:rPr>
        <w:t>9.1投标人可对招标文件载明的全部或部分采购包进行投标。</w:t>
      </w:r>
    </w:p>
    <w:p w14:paraId="0B78238E">
      <w:pPr>
        <w:pStyle w:val="4"/>
        <w:ind w:firstLine="480"/>
        <w:jc w:val="both"/>
        <w:rPr>
          <w:highlight w:val="none"/>
        </w:rPr>
      </w:pPr>
      <w:r>
        <w:rPr>
          <w:rFonts w:ascii="仿宋_GB2312" w:hAnsi="仿宋_GB2312" w:eastAsia="仿宋_GB2312" w:cs="仿宋_GB2312"/>
          <w:highlight w:val="none"/>
        </w:rPr>
        <w:t>9.2投标人应对同一个采购包内的所有内容进行完整投标，否则投标无效。</w:t>
      </w:r>
    </w:p>
    <w:p w14:paraId="3CA1BBFE">
      <w:pPr>
        <w:pStyle w:val="4"/>
        <w:ind w:firstLine="480"/>
        <w:jc w:val="both"/>
        <w:rPr>
          <w:highlight w:val="none"/>
        </w:rPr>
      </w:pPr>
      <w:r>
        <w:rPr>
          <w:rFonts w:ascii="仿宋_GB2312" w:hAnsi="仿宋_GB2312" w:eastAsia="仿宋_GB2312" w:cs="仿宋_GB2312"/>
          <w:highlight w:val="none"/>
        </w:rPr>
        <w:t>9.3投标人代表只能接受一个投标人的授权参加投标，否则投标无效。</w:t>
      </w:r>
    </w:p>
    <w:p w14:paraId="5F81C10A">
      <w:pPr>
        <w:pStyle w:val="4"/>
        <w:ind w:firstLine="480"/>
        <w:jc w:val="both"/>
        <w:rPr>
          <w:highlight w:val="none"/>
        </w:rPr>
      </w:pPr>
      <w:r>
        <w:rPr>
          <w:rFonts w:ascii="仿宋_GB2312" w:hAnsi="仿宋_GB2312" w:eastAsia="仿宋_GB2312" w:cs="仿宋_GB2312"/>
          <w:highlight w:val="none"/>
        </w:rPr>
        <w:t>9.4单位负责人为同一人或存在直接控股、管理关系的不同供应商，不得同时参加同一合同项下的投标，否则投标无效。</w:t>
      </w:r>
    </w:p>
    <w:p w14:paraId="49C248F2">
      <w:pPr>
        <w:pStyle w:val="4"/>
        <w:ind w:firstLine="480"/>
        <w:jc w:val="both"/>
        <w:rPr>
          <w:highlight w:val="none"/>
        </w:rPr>
      </w:pPr>
      <w:r>
        <w:rPr>
          <w:rFonts w:ascii="仿宋_GB2312" w:hAnsi="仿宋_GB2312" w:eastAsia="仿宋_GB2312" w:cs="仿宋_GB2312"/>
          <w:highlight w:val="none"/>
        </w:rPr>
        <w:t>9.5为本项目提供整体设计、规范编制或项目管理、监理、检测等服务的供应商，不得参加本项目除整体设计、规范编制和项目管理、监理、检测等服务外的采购活动，否则投标无效。</w:t>
      </w:r>
    </w:p>
    <w:p w14:paraId="633E901F">
      <w:pPr>
        <w:pStyle w:val="4"/>
        <w:ind w:firstLine="480"/>
        <w:jc w:val="both"/>
        <w:rPr>
          <w:highlight w:val="none"/>
        </w:rPr>
      </w:pPr>
      <w:r>
        <w:rPr>
          <w:rFonts w:ascii="仿宋_GB2312" w:hAnsi="仿宋_GB2312" w:eastAsia="仿宋_GB2312" w:cs="仿宋_GB2312"/>
          <w:highlight w:val="none"/>
        </w:rPr>
        <w:t>9.6列入失信被执行人、重大税收违法案件当事人名单、政府采购严重违法失信行为记录名单及其他不符合政府采购法第二十二条规定条件的供应商，不得参加投标，否则投标无效。</w:t>
      </w:r>
    </w:p>
    <w:p w14:paraId="43127848">
      <w:pPr>
        <w:pStyle w:val="4"/>
        <w:ind w:firstLine="480"/>
        <w:jc w:val="both"/>
        <w:rPr>
          <w:highlight w:val="none"/>
        </w:rPr>
      </w:pPr>
      <w:r>
        <w:rPr>
          <w:rFonts w:ascii="仿宋_GB2312" w:hAnsi="仿宋_GB2312" w:eastAsia="仿宋_GB2312" w:cs="仿宋_GB2312"/>
          <w:highlight w:val="none"/>
        </w:rPr>
        <w:t>9.7有下列情形之一的，视为投标人串通投标，其投标无效：</w:t>
      </w:r>
    </w:p>
    <w:p w14:paraId="432A8710">
      <w:pPr>
        <w:pStyle w:val="4"/>
        <w:ind w:firstLine="480"/>
        <w:jc w:val="both"/>
        <w:rPr>
          <w:highlight w:val="none"/>
        </w:rPr>
      </w:pPr>
      <w:r>
        <w:rPr>
          <w:rFonts w:ascii="仿宋_GB2312" w:hAnsi="仿宋_GB2312" w:eastAsia="仿宋_GB2312" w:cs="仿宋_GB2312"/>
          <w:highlight w:val="none"/>
        </w:rPr>
        <w:t>（1）不同投标人的电子投标文件由同一单位或个人编制；</w:t>
      </w:r>
    </w:p>
    <w:p w14:paraId="2AED08AF">
      <w:pPr>
        <w:pStyle w:val="4"/>
        <w:ind w:firstLine="480"/>
        <w:jc w:val="both"/>
        <w:rPr>
          <w:highlight w:val="none"/>
        </w:rPr>
      </w:pPr>
      <w:r>
        <w:rPr>
          <w:rFonts w:ascii="仿宋_GB2312" w:hAnsi="仿宋_GB2312" w:eastAsia="仿宋_GB2312" w:cs="仿宋_GB2312"/>
          <w:highlight w:val="none"/>
        </w:rPr>
        <w:t>（2）不同投标人委托同一单位或个人办理投标事宜；</w:t>
      </w:r>
    </w:p>
    <w:p w14:paraId="1060CF20">
      <w:pPr>
        <w:pStyle w:val="4"/>
        <w:ind w:firstLine="480"/>
        <w:jc w:val="both"/>
        <w:rPr>
          <w:highlight w:val="none"/>
        </w:rPr>
      </w:pPr>
      <w:r>
        <w:rPr>
          <w:rFonts w:ascii="仿宋_GB2312" w:hAnsi="仿宋_GB2312" w:eastAsia="仿宋_GB2312" w:cs="仿宋_GB2312"/>
          <w:highlight w:val="none"/>
        </w:rPr>
        <w:t>（3）不同投标人的电子投标文件载明的项目管理成员或联系人员为同一人；</w:t>
      </w:r>
    </w:p>
    <w:p w14:paraId="00CDFB21">
      <w:pPr>
        <w:pStyle w:val="4"/>
        <w:ind w:firstLine="480"/>
        <w:jc w:val="both"/>
        <w:rPr>
          <w:highlight w:val="none"/>
        </w:rPr>
      </w:pPr>
      <w:r>
        <w:rPr>
          <w:rFonts w:ascii="仿宋_GB2312" w:hAnsi="仿宋_GB2312" w:eastAsia="仿宋_GB2312" w:cs="仿宋_GB2312"/>
          <w:highlight w:val="none"/>
        </w:rPr>
        <w:t>（4）不同投标人的电子投标文件异常一致或投标报价呈规律性差异；</w:t>
      </w:r>
    </w:p>
    <w:p w14:paraId="4C8387EE">
      <w:pPr>
        <w:pStyle w:val="4"/>
        <w:ind w:firstLine="480"/>
        <w:jc w:val="both"/>
        <w:rPr>
          <w:highlight w:val="none"/>
        </w:rPr>
      </w:pPr>
      <w:r>
        <w:rPr>
          <w:rFonts w:ascii="仿宋_GB2312" w:hAnsi="仿宋_GB2312" w:eastAsia="仿宋_GB2312" w:cs="仿宋_GB2312"/>
          <w:highlight w:val="none"/>
        </w:rPr>
        <w:t>（5）不同投标人的电子投标文件相互混装；</w:t>
      </w:r>
    </w:p>
    <w:p w14:paraId="7F23FB1F">
      <w:pPr>
        <w:pStyle w:val="4"/>
        <w:ind w:firstLine="480"/>
        <w:jc w:val="both"/>
        <w:rPr>
          <w:highlight w:val="none"/>
        </w:rPr>
      </w:pPr>
      <w:r>
        <w:rPr>
          <w:rFonts w:ascii="仿宋_GB2312" w:hAnsi="仿宋_GB2312" w:eastAsia="仿宋_GB2312" w:cs="仿宋_GB2312"/>
          <w:highlight w:val="none"/>
        </w:rPr>
        <w:t>（6）不同投标人的投标保证金从同一单位或个人的账户转出；</w:t>
      </w:r>
    </w:p>
    <w:p w14:paraId="50FE74AC">
      <w:pPr>
        <w:pStyle w:val="4"/>
        <w:ind w:firstLine="480"/>
        <w:jc w:val="both"/>
        <w:rPr>
          <w:highlight w:val="none"/>
        </w:rPr>
      </w:pPr>
      <w:r>
        <w:rPr>
          <w:rFonts w:ascii="仿宋_GB2312" w:hAnsi="仿宋_GB2312" w:eastAsia="仿宋_GB2312" w:cs="仿宋_GB2312"/>
          <w:highlight w:val="none"/>
        </w:rPr>
        <w:t>（7）有关法律、法规和规章及招标文件规定的其他串通投标情形。</w:t>
      </w:r>
    </w:p>
    <w:p w14:paraId="56FB8961">
      <w:pPr>
        <w:pStyle w:val="4"/>
        <w:ind w:firstLine="480"/>
        <w:jc w:val="both"/>
        <w:rPr>
          <w:highlight w:val="none"/>
        </w:rPr>
      </w:pPr>
      <w:r>
        <w:rPr>
          <w:rFonts w:ascii="仿宋_GB2312" w:hAnsi="仿宋_GB2312" w:eastAsia="仿宋_GB2312" w:cs="仿宋_GB2312"/>
          <w:highlight w:val="none"/>
        </w:rPr>
        <w:t>10、电子投标文件</w:t>
      </w:r>
    </w:p>
    <w:p w14:paraId="120A5E50">
      <w:pPr>
        <w:pStyle w:val="4"/>
        <w:ind w:firstLine="480"/>
        <w:jc w:val="both"/>
        <w:rPr>
          <w:highlight w:val="none"/>
        </w:rPr>
      </w:pPr>
      <w:r>
        <w:rPr>
          <w:rFonts w:ascii="仿宋_GB2312" w:hAnsi="仿宋_GB2312" w:eastAsia="仿宋_GB2312" w:cs="仿宋_GB2312"/>
          <w:highlight w:val="none"/>
        </w:rPr>
        <w:t>10.1电子投标文件的编制</w:t>
      </w:r>
    </w:p>
    <w:p w14:paraId="7B91FFB3">
      <w:pPr>
        <w:pStyle w:val="4"/>
        <w:ind w:firstLine="480"/>
        <w:jc w:val="both"/>
        <w:rPr>
          <w:highlight w:val="none"/>
        </w:rPr>
      </w:pPr>
      <w:r>
        <w:rPr>
          <w:rFonts w:ascii="仿宋_GB2312" w:hAnsi="仿宋_GB2312" w:eastAsia="仿宋_GB2312" w:cs="仿宋_GB2312"/>
          <w:highlight w:val="none"/>
        </w:rPr>
        <w:t>（1）投标人应先仔细阅读招标文件的全部内容后，再进行电子投标文件的编制。</w:t>
      </w:r>
    </w:p>
    <w:p w14:paraId="4DA98831">
      <w:pPr>
        <w:pStyle w:val="4"/>
        <w:ind w:firstLine="480"/>
        <w:jc w:val="both"/>
        <w:rPr>
          <w:highlight w:val="none"/>
        </w:rPr>
      </w:pPr>
      <w:r>
        <w:rPr>
          <w:rFonts w:ascii="仿宋_GB2312" w:hAnsi="仿宋_GB2312" w:eastAsia="仿宋_GB2312" w:cs="仿宋_GB2312"/>
          <w:highlight w:val="none"/>
        </w:rPr>
        <w:t>（2）电子投标文件应按照本章第10.2条规定编制其组成部分。</w:t>
      </w:r>
    </w:p>
    <w:p w14:paraId="72801C28">
      <w:pPr>
        <w:pStyle w:val="4"/>
        <w:ind w:firstLine="480"/>
        <w:jc w:val="both"/>
        <w:rPr>
          <w:highlight w:val="none"/>
        </w:rPr>
      </w:pPr>
      <w:r>
        <w:rPr>
          <w:rFonts w:ascii="仿宋_GB2312" w:hAnsi="仿宋_GB2312" w:eastAsia="仿宋_GB2312" w:cs="仿宋_GB2312"/>
          <w:highlight w:val="none"/>
        </w:rPr>
        <w:t>（3）电子投标文件应满足招标文件提出的实质性要求和条件，并保证其所提交的全部资料是不可割离且真实、有效、准确、完整和不具有任何误导性的，否则造成不利后果由投标人承担责任。</w:t>
      </w:r>
    </w:p>
    <w:p w14:paraId="3E8B1820">
      <w:pPr>
        <w:pStyle w:val="4"/>
        <w:ind w:firstLine="480"/>
        <w:jc w:val="both"/>
        <w:rPr>
          <w:highlight w:val="none"/>
        </w:rPr>
      </w:pPr>
      <w:r>
        <w:rPr>
          <w:rFonts w:ascii="仿宋_GB2312" w:hAnsi="仿宋_GB2312" w:eastAsia="仿宋_GB2312" w:cs="仿宋_GB2312"/>
          <w:highlight w:val="none"/>
        </w:rPr>
        <w:t>10.2电子投标文件由下述部分组成：</w:t>
      </w:r>
    </w:p>
    <w:p w14:paraId="485093B5">
      <w:pPr>
        <w:pStyle w:val="4"/>
        <w:ind w:firstLine="480"/>
        <w:jc w:val="both"/>
        <w:rPr>
          <w:highlight w:val="none"/>
        </w:rPr>
      </w:pPr>
      <w:r>
        <w:rPr>
          <w:rFonts w:ascii="仿宋_GB2312" w:hAnsi="仿宋_GB2312" w:eastAsia="仿宋_GB2312" w:cs="仿宋_GB2312"/>
          <w:highlight w:val="none"/>
        </w:rPr>
        <w:t>（1）资格及资信证明部分</w:t>
      </w:r>
    </w:p>
    <w:p w14:paraId="4701CAB8">
      <w:pPr>
        <w:pStyle w:val="4"/>
        <w:ind w:firstLine="480"/>
        <w:jc w:val="both"/>
        <w:rPr>
          <w:highlight w:val="none"/>
        </w:rPr>
      </w:pPr>
      <w:r>
        <w:rPr>
          <w:rFonts w:ascii="仿宋_GB2312" w:hAnsi="仿宋_GB2312" w:eastAsia="仿宋_GB2312" w:cs="仿宋_GB2312"/>
          <w:highlight w:val="none"/>
        </w:rPr>
        <w:t>①投标函</w:t>
      </w:r>
    </w:p>
    <w:p w14:paraId="7127F199">
      <w:pPr>
        <w:pStyle w:val="4"/>
        <w:ind w:firstLine="480"/>
        <w:jc w:val="both"/>
        <w:rPr>
          <w:highlight w:val="none"/>
        </w:rPr>
      </w:pPr>
      <w:r>
        <w:rPr>
          <w:rFonts w:ascii="仿宋_GB2312" w:hAnsi="仿宋_GB2312" w:eastAsia="仿宋_GB2312" w:cs="仿宋_GB2312"/>
          <w:highlight w:val="none"/>
        </w:rPr>
        <w:t>②投标人的资格及资信证明文件</w:t>
      </w:r>
    </w:p>
    <w:p w14:paraId="2014AB69">
      <w:pPr>
        <w:pStyle w:val="4"/>
        <w:ind w:firstLine="480"/>
        <w:jc w:val="both"/>
        <w:rPr>
          <w:highlight w:val="none"/>
        </w:rPr>
      </w:pPr>
      <w:r>
        <w:rPr>
          <w:rFonts w:ascii="仿宋_GB2312" w:hAnsi="仿宋_GB2312" w:eastAsia="仿宋_GB2312" w:cs="仿宋_GB2312"/>
          <w:highlight w:val="none"/>
        </w:rPr>
        <w:t>③投标保证金</w:t>
      </w:r>
    </w:p>
    <w:p w14:paraId="64979CFE">
      <w:pPr>
        <w:pStyle w:val="4"/>
        <w:ind w:firstLine="480"/>
        <w:jc w:val="both"/>
        <w:rPr>
          <w:highlight w:val="none"/>
        </w:rPr>
      </w:pPr>
      <w:r>
        <w:rPr>
          <w:rFonts w:ascii="仿宋_GB2312" w:hAnsi="仿宋_GB2312" w:eastAsia="仿宋_GB2312" w:cs="仿宋_GB2312"/>
          <w:highlight w:val="none"/>
        </w:rPr>
        <w:t>（2）报价部分</w:t>
      </w:r>
    </w:p>
    <w:p w14:paraId="386EAA5B">
      <w:pPr>
        <w:pStyle w:val="4"/>
        <w:ind w:firstLine="480"/>
        <w:jc w:val="both"/>
        <w:rPr>
          <w:highlight w:val="none"/>
        </w:rPr>
      </w:pPr>
      <w:r>
        <w:rPr>
          <w:rFonts w:ascii="仿宋_GB2312" w:hAnsi="仿宋_GB2312" w:eastAsia="仿宋_GB2312" w:cs="仿宋_GB2312"/>
          <w:highlight w:val="none"/>
        </w:rPr>
        <w:t>①开标（报价）一览表</w:t>
      </w:r>
    </w:p>
    <w:p w14:paraId="286BD8CA">
      <w:pPr>
        <w:pStyle w:val="4"/>
        <w:ind w:firstLine="480"/>
        <w:jc w:val="both"/>
        <w:rPr>
          <w:highlight w:val="none"/>
        </w:rPr>
      </w:pPr>
      <w:r>
        <w:rPr>
          <w:rFonts w:ascii="仿宋_GB2312" w:hAnsi="仿宋_GB2312" w:eastAsia="仿宋_GB2312" w:cs="仿宋_GB2312"/>
          <w:highlight w:val="none"/>
        </w:rPr>
        <w:t>②投标（响应）报价明细表</w:t>
      </w:r>
    </w:p>
    <w:p w14:paraId="695D080C">
      <w:pPr>
        <w:pStyle w:val="4"/>
        <w:ind w:firstLine="480"/>
        <w:jc w:val="both"/>
        <w:rPr>
          <w:highlight w:val="none"/>
        </w:rPr>
      </w:pPr>
      <w:r>
        <w:rPr>
          <w:rFonts w:ascii="仿宋_GB2312" w:hAnsi="仿宋_GB2312" w:eastAsia="仿宋_GB2312" w:cs="仿宋_GB2312"/>
          <w:highlight w:val="none"/>
        </w:rPr>
        <w:t>③招标文件规定的价格扣除证明材料（若有）</w:t>
      </w:r>
    </w:p>
    <w:p w14:paraId="55AE0608">
      <w:pPr>
        <w:pStyle w:val="4"/>
        <w:ind w:firstLine="480"/>
        <w:jc w:val="both"/>
        <w:rPr>
          <w:highlight w:val="none"/>
        </w:rPr>
      </w:pPr>
      <w:r>
        <w:rPr>
          <w:rFonts w:ascii="仿宋_GB2312" w:hAnsi="仿宋_GB2312" w:eastAsia="仿宋_GB2312" w:cs="仿宋_GB2312"/>
          <w:highlight w:val="none"/>
        </w:rPr>
        <w:t>④招标文件规定的加分证明材料（若有）</w:t>
      </w:r>
    </w:p>
    <w:p w14:paraId="4E421200">
      <w:pPr>
        <w:pStyle w:val="4"/>
        <w:ind w:firstLine="480"/>
        <w:jc w:val="both"/>
        <w:rPr>
          <w:highlight w:val="none"/>
        </w:rPr>
      </w:pPr>
      <w:r>
        <w:rPr>
          <w:rFonts w:ascii="仿宋_GB2312" w:hAnsi="仿宋_GB2312" w:eastAsia="仿宋_GB2312" w:cs="仿宋_GB2312"/>
          <w:highlight w:val="none"/>
        </w:rPr>
        <w:t>（3）技术商务部分</w:t>
      </w:r>
    </w:p>
    <w:p w14:paraId="2B071666">
      <w:pPr>
        <w:pStyle w:val="4"/>
        <w:ind w:firstLine="480"/>
        <w:jc w:val="both"/>
        <w:rPr>
          <w:highlight w:val="none"/>
        </w:rPr>
      </w:pPr>
      <w:r>
        <w:rPr>
          <w:rFonts w:ascii="仿宋_GB2312" w:hAnsi="仿宋_GB2312" w:eastAsia="仿宋_GB2312" w:cs="仿宋_GB2312"/>
          <w:highlight w:val="none"/>
        </w:rPr>
        <w:t>①标的说明一览表</w:t>
      </w:r>
    </w:p>
    <w:p w14:paraId="144303EA">
      <w:pPr>
        <w:pStyle w:val="4"/>
        <w:ind w:firstLine="480"/>
        <w:jc w:val="both"/>
        <w:rPr>
          <w:highlight w:val="none"/>
        </w:rPr>
      </w:pPr>
      <w:r>
        <w:rPr>
          <w:rFonts w:ascii="仿宋_GB2312" w:hAnsi="仿宋_GB2312" w:eastAsia="仿宋_GB2312" w:cs="仿宋_GB2312"/>
          <w:highlight w:val="none"/>
        </w:rPr>
        <w:t>②技术和服务要求响应表</w:t>
      </w:r>
    </w:p>
    <w:p w14:paraId="04EA3368">
      <w:pPr>
        <w:pStyle w:val="4"/>
        <w:ind w:firstLine="480"/>
        <w:jc w:val="both"/>
        <w:rPr>
          <w:highlight w:val="none"/>
        </w:rPr>
      </w:pPr>
      <w:r>
        <w:rPr>
          <w:rFonts w:ascii="仿宋_GB2312" w:hAnsi="仿宋_GB2312" w:eastAsia="仿宋_GB2312" w:cs="仿宋_GB2312"/>
          <w:highlight w:val="none"/>
        </w:rPr>
        <w:t>③商务条件响应表</w:t>
      </w:r>
    </w:p>
    <w:p w14:paraId="5F0BC550">
      <w:pPr>
        <w:pStyle w:val="4"/>
        <w:ind w:firstLine="480"/>
        <w:jc w:val="both"/>
        <w:rPr>
          <w:highlight w:val="none"/>
        </w:rPr>
      </w:pPr>
      <w:r>
        <w:rPr>
          <w:rFonts w:ascii="仿宋_GB2312" w:hAnsi="仿宋_GB2312" w:eastAsia="仿宋_GB2312" w:cs="仿宋_GB2312"/>
          <w:highlight w:val="none"/>
        </w:rPr>
        <w:t>④投标人提交的其他资料（若有）</w:t>
      </w:r>
    </w:p>
    <w:p w14:paraId="1B327739">
      <w:pPr>
        <w:pStyle w:val="4"/>
        <w:ind w:firstLine="480"/>
        <w:jc w:val="both"/>
        <w:rPr>
          <w:highlight w:val="none"/>
        </w:rPr>
      </w:pPr>
      <w:r>
        <w:rPr>
          <w:rFonts w:ascii="仿宋_GB2312" w:hAnsi="仿宋_GB2312" w:eastAsia="仿宋_GB2312" w:cs="仿宋_GB2312"/>
          <w:highlight w:val="none"/>
        </w:rPr>
        <w:t>⑤招标文件规定作为电子投标文件组成部分的其他内容（若有）</w:t>
      </w:r>
    </w:p>
    <w:p w14:paraId="656BD777">
      <w:pPr>
        <w:pStyle w:val="4"/>
        <w:ind w:firstLine="480"/>
        <w:jc w:val="both"/>
        <w:rPr>
          <w:highlight w:val="none"/>
        </w:rPr>
      </w:pPr>
      <w:r>
        <w:rPr>
          <w:rFonts w:ascii="仿宋_GB2312" w:hAnsi="仿宋_GB2312" w:eastAsia="仿宋_GB2312" w:cs="仿宋_GB2312"/>
          <w:highlight w:val="none"/>
        </w:rPr>
        <w:t>10.3电子投标文件的语言</w:t>
      </w:r>
    </w:p>
    <w:p w14:paraId="6CCC4B5F">
      <w:pPr>
        <w:pStyle w:val="4"/>
        <w:ind w:firstLine="480"/>
        <w:jc w:val="both"/>
        <w:rPr>
          <w:highlight w:val="none"/>
        </w:rPr>
      </w:pPr>
      <w:r>
        <w:rPr>
          <w:rFonts w:ascii="仿宋_GB2312" w:hAnsi="仿宋_GB2312" w:eastAsia="仿宋_GB2312" w:cs="仿宋_GB2312"/>
          <w:highlight w:val="none"/>
        </w:rPr>
        <w:t>（1）除招标文件另有规定外，电子投标文件应使用中文文本，若有不同文本，以中文文本为准。</w:t>
      </w:r>
    </w:p>
    <w:p w14:paraId="6B024279">
      <w:pPr>
        <w:pStyle w:val="4"/>
        <w:ind w:firstLine="480"/>
        <w:jc w:val="both"/>
        <w:rPr>
          <w:highlight w:val="none"/>
        </w:rPr>
      </w:pPr>
      <w:r>
        <w:rPr>
          <w:rFonts w:ascii="仿宋_GB2312" w:hAnsi="仿宋_GB2312" w:eastAsia="仿宋_GB2312" w:cs="仿宋_GB2312"/>
          <w:highlight w:val="none"/>
        </w:rPr>
        <w:t>（2）电子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0E9B9D3B">
      <w:pPr>
        <w:pStyle w:val="4"/>
        <w:ind w:firstLine="480"/>
        <w:jc w:val="both"/>
        <w:rPr>
          <w:highlight w:val="none"/>
        </w:rPr>
      </w:pPr>
      <w:r>
        <w:rPr>
          <w:rFonts w:ascii="仿宋_GB2312" w:hAnsi="仿宋_GB2312" w:eastAsia="仿宋_GB2312" w:cs="仿宋_GB2312"/>
          <w:highlight w:val="none"/>
        </w:rPr>
        <w:t>10.4投标文件的份数：详见招标文件第二章。</w:t>
      </w:r>
    </w:p>
    <w:p w14:paraId="4712E165">
      <w:pPr>
        <w:pStyle w:val="4"/>
        <w:ind w:firstLine="480"/>
        <w:jc w:val="both"/>
        <w:rPr>
          <w:highlight w:val="none"/>
        </w:rPr>
      </w:pPr>
      <w:r>
        <w:rPr>
          <w:rFonts w:ascii="仿宋_GB2312" w:hAnsi="仿宋_GB2312" w:eastAsia="仿宋_GB2312" w:cs="仿宋_GB2312"/>
          <w:highlight w:val="none"/>
        </w:rPr>
        <w:t>10.5电子投标文件的格式</w:t>
      </w:r>
    </w:p>
    <w:p w14:paraId="2FDC7737">
      <w:pPr>
        <w:pStyle w:val="4"/>
        <w:ind w:firstLine="480"/>
        <w:jc w:val="both"/>
        <w:rPr>
          <w:highlight w:val="none"/>
        </w:rPr>
      </w:pPr>
      <w:r>
        <w:rPr>
          <w:rFonts w:ascii="仿宋_GB2312" w:hAnsi="仿宋_GB2312" w:eastAsia="仿宋_GB2312" w:cs="仿宋_GB2312"/>
          <w:highlight w:val="none"/>
        </w:rPr>
        <w:t>（1）除招标文件另有规定外，电子投标文件应使用招标文件第七章规定的格式。</w:t>
      </w:r>
    </w:p>
    <w:p w14:paraId="6FEB0C9F">
      <w:pPr>
        <w:pStyle w:val="4"/>
        <w:ind w:firstLine="480"/>
        <w:jc w:val="both"/>
        <w:rPr>
          <w:highlight w:val="none"/>
        </w:rPr>
      </w:pPr>
      <w:r>
        <w:rPr>
          <w:rFonts w:ascii="仿宋_GB2312" w:hAnsi="仿宋_GB2312" w:eastAsia="仿宋_GB2312" w:cs="仿宋_GB2312"/>
          <w:highlight w:val="none"/>
        </w:rPr>
        <w:t>（2）除招标文件另有规定外，电子投标文件应使用不能擦去的墨料或墨水打印、书写或复印。</w:t>
      </w:r>
    </w:p>
    <w:p w14:paraId="6FA305D9">
      <w:pPr>
        <w:pStyle w:val="4"/>
        <w:ind w:firstLine="480"/>
        <w:jc w:val="both"/>
        <w:rPr>
          <w:highlight w:val="none"/>
        </w:rPr>
      </w:pPr>
      <w:r>
        <w:rPr>
          <w:rFonts w:ascii="仿宋_GB2312" w:hAnsi="仿宋_GB2312" w:eastAsia="仿宋_GB2312" w:cs="仿宋_GB2312"/>
          <w:highlight w:val="none"/>
        </w:rPr>
        <w:t>（3）除招标文件另有规定外，电子投标文件应使用人民币作为计量货币。</w:t>
      </w:r>
    </w:p>
    <w:p w14:paraId="670C23E4">
      <w:pPr>
        <w:pStyle w:val="4"/>
        <w:ind w:firstLine="480"/>
        <w:jc w:val="both"/>
        <w:rPr>
          <w:highlight w:val="none"/>
        </w:rPr>
      </w:pPr>
      <w:r>
        <w:rPr>
          <w:rFonts w:ascii="仿宋_GB2312" w:hAnsi="仿宋_GB2312" w:eastAsia="仿宋_GB2312" w:cs="仿宋_GB2312"/>
          <w:highlight w:val="none"/>
        </w:rPr>
        <w:t>（4）除招标文件另有规定外，签署、盖章应遵守下列规定：</w:t>
      </w:r>
    </w:p>
    <w:p w14:paraId="66367751">
      <w:pPr>
        <w:pStyle w:val="4"/>
        <w:ind w:firstLine="480"/>
        <w:jc w:val="both"/>
        <w:rPr>
          <w:highlight w:val="none"/>
        </w:rPr>
      </w:pPr>
      <w:r>
        <w:rPr>
          <w:rFonts w:ascii="仿宋_GB2312" w:hAnsi="仿宋_GB2312" w:eastAsia="仿宋_GB2312" w:cs="仿宋_GB2312"/>
          <w:highlight w:val="none"/>
        </w:rPr>
        <w:t>①电子投标文件应加盖投标人的单位公章。若投标人代表为单位授权的委托代理人，应提供“单位授权书”。</w:t>
      </w:r>
    </w:p>
    <w:p w14:paraId="5CB99C18">
      <w:pPr>
        <w:pStyle w:val="4"/>
        <w:ind w:firstLine="480"/>
        <w:jc w:val="both"/>
        <w:rPr>
          <w:highlight w:val="none"/>
        </w:rPr>
      </w:pPr>
      <w:r>
        <w:rPr>
          <w:rFonts w:ascii="仿宋_GB2312" w:hAnsi="仿宋_GB2312" w:eastAsia="仿宋_GB2312" w:cs="仿宋_GB2312"/>
          <w:highlight w:val="none"/>
        </w:rPr>
        <w:t>②电子投标文件应没有涂改或行间插字，除非这些改动是根据 福建省公共资源交易中心 的指示进行的，或是为改正投标人造成的应修改的错误而进行的。若有前述改动，应按照下列规定之一对改动处进行处理：</w:t>
      </w:r>
    </w:p>
    <w:p w14:paraId="6CE490B9">
      <w:pPr>
        <w:pStyle w:val="4"/>
        <w:ind w:firstLine="480"/>
        <w:jc w:val="both"/>
        <w:rPr>
          <w:highlight w:val="none"/>
        </w:rPr>
      </w:pPr>
      <w:r>
        <w:rPr>
          <w:rFonts w:ascii="仿宋_GB2312" w:hAnsi="仿宋_GB2312" w:eastAsia="仿宋_GB2312" w:cs="仿宋_GB2312"/>
          <w:highlight w:val="none"/>
        </w:rPr>
        <w:t>a.投标人代表签字确认；</w:t>
      </w:r>
    </w:p>
    <w:p w14:paraId="52055C4A">
      <w:pPr>
        <w:pStyle w:val="4"/>
        <w:ind w:firstLine="480"/>
        <w:jc w:val="both"/>
        <w:rPr>
          <w:highlight w:val="none"/>
        </w:rPr>
      </w:pPr>
      <w:r>
        <w:rPr>
          <w:rFonts w:ascii="仿宋_GB2312" w:hAnsi="仿宋_GB2312" w:eastAsia="仿宋_GB2312" w:cs="仿宋_GB2312"/>
          <w:highlight w:val="none"/>
        </w:rPr>
        <w:t>b.加盖投标人的单位公章或校正章。</w:t>
      </w:r>
    </w:p>
    <w:p w14:paraId="5A027BA6">
      <w:pPr>
        <w:pStyle w:val="4"/>
        <w:ind w:firstLine="480"/>
        <w:jc w:val="both"/>
        <w:rPr>
          <w:highlight w:val="none"/>
        </w:rPr>
      </w:pPr>
      <w:r>
        <w:rPr>
          <w:rFonts w:ascii="仿宋_GB2312" w:hAnsi="仿宋_GB2312" w:eastAsia="仿宋_GB2312" w:cs="仿宋_GB2312"/>
          <w:highlight w:val="none"/>
        </w:rPr>
        <w:t>10.6投标报价</w:t>
      </w:r>
    </w:p>
    <w:p w14:paraId="2C94934C">
      <w:pPr>
        <w:pStyle w:val="4"/>
        <w:ind w:firstLine="480"/>
        <w:jc w:val="both"/>
        <w:rPr>
          <w:highlight w:val="none"/>
        </w:rPr>
      </w:pPr>
      <w:r>
        <w:rPr>
          <w:rFonts w:ascii="仿宋_GB2312" w:hAnsi="仿宋_GB2312" w:eastAsia="仿宋_GB2312" w:cs="仿宋_GB2312"/>
          <w:highlight w:val="none"/>
        </w:rPr>
        <w:t>（1）投标报价超出最高限价将导致投标无效。</w:t>
      </w:r>
    </w:p>
    <w:p w14:paraId="2B16D20F">
      <w:pPr>
        <w:pStyle w:val="4"/>
        <w:ind w:firstLine="480"/>
        <w:jc w:val="both"/>
        <w:rPr>
          <w:highlight w:val="none"/>
        </w:rPr>
      </w:pPr>
      <w:r>
        <w:rPr>
          <w:rFonts w:ascii="仿宋_GB2312" w:hAnsi="仿宋_GB2312" w:eastAsia="仿宋_GB2312" w:cs="仿宋_GB2312"/>
          <w:highlight w:val="none"/>
        </w:rPr>
        <w:t>（2）最高限价由采购人根据价格测算情况，在预算金额的额度内合理设定。最高限价不得超出预算金额。</w:t>
      </w:r>
    </w:p>
    <w:p w14:paraId="7D13041C">
      <w:pPr>
        <w:pStyle w:val="4"/>
        <w:ind w:firstLine="480"/>
        <w:jc w:val="both"/>
        <w:rPr>
          <w:highlight w:val="none"/>
        </w:rPr>
      </w:pPr>
      <w:r>
        <w:rPr>
          <w:rFonts w:ascii="仿宋_GB2312" w:hAnsi="仿宋_GB2312" w:eastAsia="仿宋_GB2312" w:cs="仿宋_GB2312"/>
          <w:highlight w:val="none"/>
        </w:rPr>
        <w:t>（3）除招标文件另有规定外，电子投标文件不能出现任何选择性的投标报价，即每一个采购包和品目号的采购标的都只能有一个投标报价。任何选择性的投标报价将导致投标无效。</w:t>
      </w:r>
    </w:p>
    <w:p w14:paraId="5669E77B">
      <w:pPr>
        <w:pStyle w:val="4"/>
        <w:ind w:firstLine="480"/>
        <w:jc w:val="both"/>
        <w:rPr>
          <w:highlight w:val="none"/>
        </w:rPr>
      </w:pPr>
      <w:r>
        <w:rPr>
          <w:rFonts w:ascii="仿宋_GB2312" w:hAnsi="仿宋_GB2312" w:eastAsia="仿宋_GB2312" w:cs="仿宋_GB2312"/>
          <w:highlight w:val="none"/>
        </w:rPr>
        <w:t>10.7分包</w:t>
      </w:r>
    </w:p>
    <w:p w14:paraId="7F3810F8">
      <w:pPr>
        <w:pStyle w:val="4"/>
        <w:ind w:firstLine="480"/>
        <w:jc w:val="both"/>
        <w:rPr>
          <w:highlight w:val="none"/>
        </w:rPr>
      </w:pPr>
      <w:r>
        <w:rPr>
          <w:rFonts w:ascii="仿宋_GB2312" w:hAnsi="仿宋_GB2312" w:eastAsia="仿宋_GB2312" w:cs="仿宋_GB2312"/>
          <w:highlight w:val="none"/>
        </w:rPr>
        <w:t>（1）是否允许中标人将本项目的非主体、非关键性工作进行分包：详见招标文件第二章。</w:t>
      </w:r>
    </w:p>
    <w:p w14:paraId="2F07AD0A">
      <w:pPr>
        <w:pStyle w:val="4"/>
        <w:ind w:firstLine="480"/>
        <w:jc w:val="both"/>
        <w:rPr>
          <w:highlight w:val="none"/>
        </w:rPr>
      </w:pPr>
      <w:r>
        <w:rPr>
          <w:rFonts w:ascii="仿宋_GB2312" w:hAnsi="仿宋_GB2312" w:eastAsia="仿宋_GB2312" w:cs="仿宋_GB2312"/>
          <w:highlight w:val="none"/>
        </w:rPr>
        <w:t>（2）若允许中标人将本项目的非主体、非关键性工作进行分包且投标人拟在中标后进行分包，则应在电子投标文件中提供分包意向协议，同时投标人应在电子投标文件中载明分包承担主体，分包承担主体应具备相应资质条件（若有）且不得再次分包。</w:t>
      </w:r>
    </w:p>
    <w:p w14:paraId="4EFA7F1A">
      <w:pPr>
        <w:pStyle w:val="4"/>
        <w:ind w:firstLine="480"/>
        <w:jc w:val="both"/>
        <w:rPr>
          <w:highlight w:val="none"/>
        </w:rPr>
      </w:pPr>
      <w:r>
        <w:rPr>
          <w:rFonts w:ascii="仿宋_GB2312" w:hAnsi="仿宋_GB2312" w:eastAsia="仿宋_GB2312" w:cs="仿宋_GB2312"/>
          <w:highlight w:val="none"/>
        </w:rPr>
        <w:t>（3）招标文件允许中标人将非主体、非关键性工作进行分包的项目，有下列情形之一的，中标人不得分包：</w:t>
      </w:r>
    </w:p>
    <w:p w14:paraId="47CE7DF5">
      <w:pPr>
        <w:pStyle w:val="4"/>
        <w:ind w:firstLine="480"/>
        <w:jc w:val="both"/>
        <w:rPr>
          <w:highlight w:val="none"/>
        </w:rPr>
      </w:pPr>
      <w:r>
        <w:rPr>
          <w:rFonts w:ascii="仿宋_GB2312" w:hAnsi="仿宋_GB2312" w:eastAsia="仿宋_GB2312" w:cs="仿宋_GB2312"/>
          <w:highlight w:val="none"/>
        </w:rPr>
        <w:t>①电子投标文件中未载明分包承担主体；</w:t>
      </w:r>
    </w:p>
    <w:p w14:paraId="0E57444B">
      <w:pPr>
        <w:pStyle w:val="4"/>
        <w:ind w:firstLine="480"/>
        <w:jc w:val="both"/>
        <w:rPr>
          <w:highlight w:val="none"/>
        </w:rPr>
      </w:pPr>
      <w:r>
        <w:rPr>
          <w:rFonts w:ascii="仿宋_GB2312" w:hAnsi="仿宋_GB2312" w:eastAsia="仿宋_GB2312" w:cs="仿宋_GB2312"/>
          <w:highlight w:val="none"/>
        </w:rPr>
        <w:t>②电子投标文件载明的分包承担主体不具备相应资质条件；</w:t>
      </w:r>
    </w:p>
    <w:p w14:paraId="59616B64">
      <w:pPr>
        <w:pStyle w:val="4"/>
        <w:ind w:firstLine="480"/>
        <w:jc w:val="both"/>
        <w:rPr>
          <w:highlight w:val="none"/>
        </w:rPr>
      </w:pPr>
      <w:r>
        <w:rPr>
          <w:rFonts w:ascii="仿宋_GB2312" w:hAnsi="仿宋_GB2312" w:eastAsia="仿宋_GB2312" w:cs="仿宋_GB2312"/>
          <w:highlight w:val="none"/>
        </w:rPr>
        <w:t>③电子投标文件载明的分包承担主体拟再次分包；</w:t>
      </w:r>
    </w:p>
    <w:p w14:paraId="6C0BA35B">
      <w:pPr>
        <w:pStyle w:val="4"/>
        <w:ind w:firstLine="480"/>
        <w:jc w:val="both"/>
        <w:rPr>
          <w:highlight w:val="none"/>
        </w:rPr>
      </w:pPr>
      <w:r>
        <w:rPr>
          <w:rFonts w:ascii="仿宋_GB2312" w:hAnsi="仿宋_GB2312" w:eastAsia="仿宋_GB2312" w:cs="仿宋_GB2312"/>
          <w:highlight w:val="none"/>
        </w:rPr>
        <w:t>④享受中小企业扶持政策获得政府采购合同的，小微企业不得将合同分包给大中型企业，中型企业不得将合同分包给大型企业。</w:t>
      </w:r>
    </w:p>
    <w:p w14:paraId="520F0EDA">
      <w:pPr>
        <w:pStyle w:val="4"/>
        <w:ind w:firstLine="480"/>
        <w:jc w:val="both"/>
        <w:rPr>
          <w:highlight w:val="none"/>
        </w:rPr>
      </w:pPr>
      <w:r>
        <w:rPr>
          <w:rFonts w:ascii="仿宋_GB2312" w:hAnsi="仿宋_GB2312" w:eastAsia="仿宋_GB2312" w:cs="仿宋_GB2312"/>
          <w:highlight w:val="none"/>
        </w:rPr>
        <w:t>10.8投标有效期</w:t>
      </w:r>
    </w:p>
    <w:p w14:paraId="2246E172">
      <w:pPr>
        <w:pStyle w:val="4"/>
        <w:ind w:firstLine="480"/>
        <w:jc w:val="both"/>
        <w:rPr>
          <w:highlight w:val="none"/>
        </w:rPr>
      </w:pPr>
      <w:r>
        <w:rPr>
          <w:rFonts w:ascii="仿宋_GB2312" w:hAnsi="仿宋_GB2312" w:eastAsia="仿宋_GB2312" w:cs="仿宋_GB2312"/>
          <w:highlight w:val="none"/>
        </w:rPr>
        <w:t>（1）招标文件载明的投标有效期：详见招标文件第二章。</w:t>
      </w:r>
    </w:p>
    <w:p w14:paraId="3903CA2A">
      <w:pPr>
        <w:pStyle w:val="4"/>
        <w:ind w:firstLine="480"/>
        <w:jc w:val="both"/>
        <w:rPr>
          <w:highlight w:val="none"/>
        </w:rPr>
      </w:pPr>
      <w:r>
        <w:rPr>
          <w:rFonts w:ascii="仿宋_GB2312" w:hAnsi="仿宋_GB2312" w:eastAsia="仿宋_GB2312" w:cs="仿宋_GB2312"/>
          <w:highlight w:val="none"/>
        </w:rPr>
        <w:t>（2）电子投标文件承诺的投标有效期不得少于招标文件载明的投标有效期，否则投标无效。</w:t>
      </w:r>
    </w:p>
    <w:p w14:paraId="3364F9C7">
      <w:pPr>
        <w:pStyle w:val="4"/>
        <w:ind w:firstLine="480"/>
        <w:jc w:val="both"/>
        <w:rPr>
          <w:highlight w:val="none"/>
        </w:rPr>
      </w:pPr>
      <w:r>
        <w:rPr>
          <w:rFonts w:ascii="仿宋_GB2312" w:hAnsi="仿宋_GB2312" w:eastAsia="仿宋_GB2312" w:cs="仿宋_GB2312"/>
          <w:highlight w:val="none"/>
        </w:rPr>
        <w:t>（3）根据本次采购活动的需要， 福建省公共资源交易中心 可于投标有效期届满之前书面要求投标人延长投标有效期，投标人应在 福建省公共资源交易中心 规定的期限内以书面形式予以答复。对于延长投标有效期的要求，投标人可以拒绝也可以接受，投标人答复不明确或逾期未答复的，均视为拒绝该要求。对于接受延长投标有效期的投标人，既不要求也不允许修改电子投标文件。</w:t>
      </w:r>
    </w:p>
    <w:p w14:paraId="5F10FC60">
      <w:pPr>
        <w:pStyle w:val="4"/>
        <w:ind w:firstLine="480"/>
        <w:jc w:val="both"/>
        <w:rPr>
          <w:highlight w:val="none"/>
        </w:rPr>
      </w:pPr>
      <w:r>
        <w:rPr>
          <w:rFonts w:ascii="仿宋_GB2312" w:hAnsi="仿宋_GB2312" w:eastAsia="仿宋_GB2312" w:cs="仿宋_GB2312"/>
          <w:highlight w:val="none"/>
        </w:rPr>
        <w:t>10.9投标保证金</w:t>
      </w:r>
    </w:p>
    <w:p w14:paraId="5C3F1846">
      <w:pPr>
        <w:pStyle w:val="4"/>
        <w:ind w:firstLine="480"/>
        <w:jc w:val="both"/>
        <w:rPr>
          <w:highlight w:val="none"/>
        </w:rPr>
      </w:pPr>
      <w:r>
        <w:rPr>
          <w:rFonts w:ascii="仿宋_GB2312" w:hAnsi="仿宋_GB2312" w:eastAsia="仿宋_GB2312" w:cs="仿宋_GB2312"/>
          <w:highlight w:val="none"/>
        </w:rPr>
        <w:t>（1）投标保证金作为投标人按照招标文件规定履行相应投标责任、义务的约束及担保。</w:t>
      </w:r>
    </w:p>
    <w:p w14:paraId="6ADF0B0A">
      <w:pPr>
        <w:pStyle w:val="4"/>
        <w:ind w:firstLine="480"/>
        <w:jc w:val="both"/>
        <w:rPr>
          <w:highlight w:val="none"/>
        </w:rPr>
      </w:pPr>
      <w:r>
        <w:rPr>
          <w:rFonts w:ascii="仿宋_GB2312" w:hAnsi="仿宋_GB2312" w:eastAsia="仿宋_GB2312" w:cs="仿宋_GB2312"/>
          <w:highlight w:val="none"/>
        </w:rPr>
        <w:t>（2）投标人以电子保函形式提交投标保证金的，保函的有效期应等于或长于电子投标文件承诺的投标有效期，否则投标无效。</w:t>
      </w:r>
    </w:p>
    <w:p w14:paraId="4A308B29">
      <w:pPr>
        <w:pStyle w:val="4"/>
        <w:ind w:firstLine="480"/>
        <w:jc w:val="both"/>
        <w:rPr>
          <w:highlight w:val="none"/>
        </w:rPr>
      </w:pPr>
      <w:r>
        <w:rPr>
          <w:rFonts w:ascii="仿宋_GB2312" w:hAnsi="仿宋_GB2312" w:eastAsia="仿宋_GB2312" w:cs="仿宋_GB2312"/>
          <w:highlight w:val="none"/>
        </w:rPr>
        <w:t>（3）提交</w:t>
      </w:r>
    </w:p>
    <w:p w14:paraId="40DFB93B">
      <w:pPr>
        <w:pStyle w:val="4"/>
        <w:ind w:firstLine="480"/>
        <w:jc w:val="both"/>
        <w:rPr>
          <w:highlight w:val="none"/>
        </w:rPr>
      </w:pPr>
      <w:r>
        <w:rPr>
          <w:rFonts w:ascii="仿宋_GB2312" w:hAnsi="仿宋_GB2312" w:eastAsia="仿宋_GB2312" w:cs="仿宋_GB2312"/>
          <w:highlight w:val="none"/>
        </w:rPr>
        <w:t>①投标人以汇款形式缴纳投标保证金的，应从其银行账户（基本存款账户）按照下列方式：公对公转账方式向招标文件载明的投标保证金账户提交投标保证金，具体金额详见招标文件第一章。</w:t>
      </w:r>
    </w:p>
    <w:p w14:paraId="59AE167F">
      <w:pPr>
        <w:pStyle w:val="4"/>
        <w:ind w:firstLine="480"/>
        <w:jc w:val="both"/>
        <w:rPr>
          <w:highlight w:val="none"/>
        </w:rPr>
      </w:pPr>
      <w:r>
        <w:rPr>
          <w:rFonts w:ascii="仿宋_GB2312" w:hAnsi="仿宋_GB2312" w:eastAsia="仿宋_GB2312" w:cs="仿宋_GB2312"/>
          <w:highlight w:val="none"/>
        </w:rPr>
        <w:t>②投标人以电子保函形式提交投标保证金的，可在招标文件载明的投标截止时间前通过福建省政府采购平台“保函服务”栏目办理电子保函并在电汇或银行转账单上注明（项目编号）；在投标截止时间之前将电子保函文件放入投标文件中，否则视为未提交投标保证金。</w:t>
      </w:r>
    </w:p>
    <w:p w14:paraId="143EA9A1">
      <w:pPr>
        <w:pStyle w:val="4"/>
        <w:ind w:firstLine="480"/>
        <w:jc w:val="left"/>
        <w:rPr>
          <w:highlight w:val="none"/>
        </w:rPr>
      </w:pPr>
      <w:r>
        <w:rPr>
          <w:rFonts w:ascii="仿宋_GB2312" w:hAnsi="仿宋_GB2312" w:eastAsia="仿宋_GB2312" w:cs="仿宋_GB2312"/>
          <w:highlight w:val="none"/>
        </w:rPr>
        <w:t>③其他形式：</w:t>
      </w:r>
    </w:p>
    <w:p w14:paraId="3A9CB68F">
      <w:pPr>
        <w:pStyle w:val="4"/>
        <w:jc w:val="left"/>
        <w:rPr>
          <w:highlight w:val="none"/>
        </w:rPr>
      </w:pPr>
      <w:r>
        <w:rPr>
          <w:rFonts w:ascii="仿宋_GB2312" w:hAnsi="仿宋_GB2312" w:eastAsia="仿宋_GB2312" w:cs="仿宋_GB2312"/>
          <w:highlight w:val="none"/>
        </w:rPr>
        <w:t>无</w:t>
      </w:r>
    </w:p>
    <w:p w14:paraId="60231F09">
      <w:pPr>
        <w:pStyle w:val="4"/>
        <w:ind w:firstLine="480"/>
        <w:jc w:val="both"/>
        <w:rPr>
          <w:highlight w:val="none"/>
        </w:rPr>
      </w:pPr>
      <w:r>
        <w:rPr>
          <w:rFonts w:ascii="仿宋_GB2312" w:hAnsi="仿宋_GB2312" w:eastAsia="仿宋_GB2312" w:cs="仿宋_GB2312"/>
          <w:highlight w:val="none"/>
        </w:rPr>
        <w:t>④若本项目接受联合体投标且投标人为联合体，则联合体中的牵头方应按照本章第10.9条第（3）款第①、②、③点规定提交投标保证金。</w:t>
      </w:r>
    </w:p>
    <w:p w14:paraId="2029C1D8">
      <w:pPr>
        <w:pStyle w:val="4"/>
        <w:ind w:firstLine="480"/>
        <w:jc w:val="both"/>
        <w:rPr>
          <w:highlight w:val="none"/>
        </w:rPr>
      </w:pPr>
      <w:r>
        <w:rPr>
          <w:rFonts w:ascii="仿宋_GB2312" w:hAnsi="仿宋_GB2312" w:eastAsia="仿宋_GB2312" w:cs="仿宋_GB2312"/>
          <w:highlight w:val="none"/>
        </w:rPr>
        <w:t>※除招标文件另有规定外，未按照上述规定提交投标保证金将导致资格审查不合格。</w:t>
      </w:r>
    </w:p>
    <w:p w14:paraId="0872A5E1">
      <w:pPr>
        <w:pStyle w:val="4"/>
        <w:ind w:firstLine="480"/>
        <w:jc w:val="both"/>
        <w:rPr>
          <w:highlight w:val="none"/>
        </w:rPr>
      </w:pPr>
      <w:r>
        <w:rPr>
          <w:rFonts w:ascii="仿宋_GB2312" w:hAnsi="仿宋_GB2312" w:eastAsia="仿宋_GB2312" w:cs="仿宋_GB2312"/>
          <w:highlight w:val="none"/>
        </w:rPr>
        <w:t>（4）退还</w:t>
      </w:r>
    </w:p>
    <w:p w14:paraId="5974C912">
      <w:pPr>
        <w:pStyle w:val="4"/>
        <w:ind w:firstLine="480"/>
        <w:jc w:val="both"/>
        <w:rPr>
          <w:highlight w:val="none"/>
        </w:rPr>
      </w:pPr>
      <w:r>
        <w:rPr>
          <w:rFonts w:ascii="仿宋_GB2312" w:hAnsi="仿宋_GB2312" w:eastAsia="仿宋_GB2312" w:cs="仿宋_GB2312"/>
          <w:highlight w:val="none"/>
        </w:rPr>
        <w:t>①在投标截止时间前撤回已提交的电子投标文件的投标人，其投标保证金将在 福建省公共资源交易中心 收到投标人书面撤回通知之日起5个工作日内退回原账户。</w:t>
      </w:r>
    </w:p>
    <w:p w14:paraId="23F91913">
      <w:pPr>
        <w:pStyle w:val="4"/>
        <w:ind w:firstLine="480"/>
        <w:jc w:val="both"/>
        <w:rPr>
          <w:highlight w:val="none"/>
        </w:rPr>
      </w:pPr>
      <w:r>
        <w:rPr>
          <w:rFonts w:ascii="仿宋_GB2312" w:hAnsi="仿宋_GB2312" w:eastAsia="仿宋_GB2312" w:cs="仿宋_GB2312"/>
          <w:highlight w:val="none"/>
        </w:rPr>
        <w:t>②未中标人的投标保证金将在中标通知书发出之日起5个工作日内退回原账户。</w:t>
      </w:r>
    </w:p>
    <w:p w14:paraId="2EED337D">
      <w:pPr>
        <w:pStyle w:val="4"/>
        <w:ind w:firstLine="480"/>
        <w:jc w:val="both"/>
        <w:rPr>
          <w:highlight w:val="none"/>
        </w:rPr>
      </w:pPr>
      <w:r>
        <w:rPr>
          <w:rFonts w:ascii="仿宋_GB2312" w:hAnsi="仿宋_GB2312" w:eastAsia="仿宋_GB2312" w:cs="仿宋_GB2312"/>
          <w:highlight w:val="none"/>
        </w:rPr>
        <w:t>③中标人的投标保证金将在政府采购合同签订之日起5个工作日内退回原账户；合同签订之日以福建省政府采购网上公开信息系统记载的为准。</w:t>
      </w:r>
    </w:p>
    <w:p w14:paraId="6AE143F4">
      <w:pPr>
        <w:pStyle w:val="4"/>
        <w:ind w:firstLine="480"/>
        <w:jc w:val="both"/>
        <w:rPr>
          <w:highlight w:val="none"/>
        </w:rPr>
      </w:pPr>
      <w:r>
        <w:rPr>
          <w:rFonts w:ascii="仿宋_GB2312" w:hAnsi="仿宋_GB2312" w:eastAsia="仿宋_GB2312" w:cs="仿宋_GB2312"/>
          <w:highlight w:val="none"/>
        </w:rPr>
        <w:t>④终止招标的， 福建省公共资源交易中心 将在终止公告发布之日起5个工作日内退回已收取的投标保证金及其在银行产生的孳息。</w:t>
      </w:r>
    </w:p>
    <w:p w14:paraId="285F9A62">
      <w:pPr>
        <w:pStyle w:val="4"/>
        <w:ind w:firstLine="480"/>
        <w:jc w:val="both"/>
        <w:rPr>
          <w:highlight w:val="none"/>
        </w:rPr>
      </w:pPr>
      <w:r>
        <w:rPr>
          <w:rFonts w:ascii="仿宋_GB2312" w:hAnsi="仿宋_GB2312" w:eastAsia="仿宋_GB2312" w:cs="仿宋_GB2312"/>
          <w:highlight w:val="none"/>
        </w:rPr>
        <w:t>⑤除招标文件另有规定外，质疑或投诉涉及的投标人，若投标保证金尚未退还，则待质疑或投诉处理完毕后不计利息原额退还。</w:t>
      </w:r>
    </w:p>
    <w:p w14:paraId="6CE4B3DB">
      <w:pPr>
        <w:pStyle w:val="4"/>
        <w:ind w:firstLine="480"/>
        <w:jc w:val="both"/>
        <w:rPr>
          <w:highlight w:val="none"/>
        </w:rPr>
      </w:pPr>
      <w:r>
        <w:rPr>
          <w:rFonts w:ascii="仿宋_GB2312" w:hAnsi="仿宋_GB2312" w:eastAsia="仿宋_GB2312" w:cs="仿宋_GB2312"/>
          <w:highlight w:val="none"/>
        </w:rPr>
        <w:t>※本章第10.9条第（4）款第①、②、③点规定的投标保证金退还时限不包括因投标人自身原因导致无法及时退还而增加的时间。</w:t>
      </w:r>
    </w:p>
    <w:p w14:paraId="1CFEED88">
      <w:pPr>
        <w:pStyle w:val="4"/>
        <w:ind w:firstLine="480"/>
        <w:jc w:val="both"/>
        <w:rPr>
          <w:highlight w:val="none"/>
        </w:rPr>
      </w:pPr>
      <w:r>
        <w:rPr>
          <w:rFonts w:ascii="仿宋_GB2312" w:hAnsi="仿宋_GB2312" w:eastAsia="仿宋_GB2312" w:cs="仿宋_GB2312"/>
          <w:highlight w:val="none"/>
        </w:rPr>
        <w:t>（5）若出现本章第10.8条第（3）款规定情形，对于拒绝延长投标有效期的投标人，投标保证金仍可退还。对于接受延长投标有效期的投标人，相应延长投标保证金有效期，招标文件关于退还和不予退还投标保证金的规定继续适用。</w:t>
      </w:r>
    </w:p>
    <w:p w14:paraId="75DE4E27">
      <w:pPr>
        <w:pStyle w:val="4"/>
        <w:ind w:firstLine="480"/>
        <w:jc w:val="both"/>
        <w:rPr>
          <w:highlight w:val="none"/>
        </w:rPr>
      </w:pPr>
      <w:r>
        <w:rPr>
          <w:rFonts w:ascii="仿宋_GB2312" w:hAnsi="仿宋_GB2312" w:eastAsia="仿宋_GB2312" w:cs="仿宋_GB2312"/>
          <w:highlight w:val="none"/>
        </w:rPr>
        <w:t>（6）有下列情形之一的，投标保证金将不予退还或通过投标保函进行索赔：</w:t>
      </w:r>
    </w:p>
    <w:p w14:paraId="3D113671">
      <w:pPr>
        <w:pStyle w:val="4"/>
        <w:ind w:firstLine="480"/>
        <w:jc w:val="both"/>
        <w:rPr>
          <w:highlight w:val="none"/>
        </w:rPr>
      </w:pPr>
      <w:r>
        <w:rPr>
          <w:rFonts w:ascii="仿宋_GB2312" w:hAnsi="仿宋_GB2312" w:eastAsia="仿宋_GB2312" w:cs="仿宋_GB2312"/>
          <w:highlight w:val="none"/>
        </w:rPr>
        <w:t>①投标人串通投标；</w:t>
      </w:r>
    </w:p>
    <w:p w14:paraId="65D25370">
      <w:pPr>
        <w:pStyle w:val="4"/>
        <w:ind w:firstLine="480"/>
        <w:jc w:val="both"/>
        <w:rPr>
          <w:highlight w:val="none"/>
        </w:rPr>
      </w:pPr>
      <w:r>
        <w:rPr>
          <w:rFonts w:ascii="仿宋_GB2312" w:hAnsi="仿宋_GB2312" w:eastAsia="仿宋_GB2312" w:cs="仿宋_GB2312"/>
          <w:highlight w:val="none"/>
        </w:rPr>
        <w:t>②投标人提供虚假材料；</w:t>
      </w:r>
    </w:p>
    <w:p w14:paraId="37DD202B">
      <w:pPr>
        <w:pStyle w:val="4"/>
        <w:ind w:firstLine="480"/>
        <w:jc w:val="both"/>
        <w:rPr>
          <w:highlight w:val="none"/>
        </w:rPr>
      </w:pPr>
      <w:r>
        <w:rPr>
          <w:rFonts w:ascii="仿宋_GB2312" w:hAnsi="仿宋_GB2312" w:eastAsia="仿宋_GB2312" w:cs="仿宋_GB2312"/>
          <w:highlight w:val="none"/>
        </w:rPr>
        <w:t>③投标人采取不正当手段诋毁、排挤其他投标人；</w:t>
      </w:r>
    </w:p>
    <w:p w14:paraId="5B555B7E">
      <w:pPr>
        <w:pStyle w:val="4"/>
        <w:ind w:firstLine="480"/>
        <w:jc w:val="both"/>
        <w:rPr>
          <w:highlight w:val="none"/>
        </w:rPr>
      </w:pPr>
      <w:r>
        <w:rPr>
          <w:rFonts w:ascii="仿宋_GB2312" w:hAnsi="仿宋_GB2312" w:eastAsia="仿宋_GB2312" w:cs="仿宋_GB2312"/>
          <w:highlight w:val="none"/>
        </w:rPr>
        <w:t>④投标截止时间后，投标人在投标有效期内撤销电子投标文件；</w:t>
      </w:r>
    </w:p>
    <w:p w14:paraId="377B5E86">
      <w:pPr>
        <w:pStyle w:val="4"/>
        <w:ind w:firstLine="480"/>
        <w:jc w:val="both"/>
        <w:rPr>
          <w:highlight w:val="none"/>
        </w:rPr>
      </w:pPr>
      <w:r>
        <w:rPr>
          <w:rFonts w:ascii="仿宋_GB2312" w:hAnsi="仿宋_GB2312" w:eastAsia="仿宋_GB2312" w:cs="仿宋_GB2312"/>
          <w:highlight w:val="none"/>
        </w:rPr>
        <w:t>⑤招标文件规定的其他不予退还情形；</w:t>
      </w:r>
    </w:p>
    <w:p w14:paraId="30BC8BF8">
      <w:pPr>
        <w:pStyle w:val="4"/>
        <w:ind w:firstLine="480"/>
        <w:jc w:val="both"/>
        <w:rPr>
          <w:highlight w:val="none"/>
        </w:rPr>
      </w:pPr>
      <w:r>
        <w:rPr>
          <w:rFonts w:ascii="仿宋_GB2312" w:hAnsi="仿宋_GB2312" w:eastAsia="仿宋_GB2312" w:cs="仿宋_GB2312"/>
          <w:highlight w:val="none"/>
        </w:rPr>
        <w:t>⑥中标人有下列情形之一的：</w:t>
      </w:r>
    </w:p>
    <w:p w14:paraId="151CC315">
      <w:pPr>
        <w:pStyle w:val="4"/>
        <w:ind w:firstLine="480"/>
        <w:jc w:val="both"/>
        <w:rPr>
          <w:highlight w:val="none"/>
        </w:rPr>
      </w:pPr>
      <w:r>
        <w:rPr>
          <w:rFonts w:ascii="仿宋_GB2312" w:hAnsi="仿宋_GB2312" w:eastAsia="仿宋_GB2312" w:cs="仿宋_GB2312"/>
          <w:highlight w:val="none"/>
        </w:rPr>
        <w:t>a.除不可抗力外，因中标人自身原因未在中标通知书要求的期限内与采购人签订政府采购合同；</w:t>
      </w:r>
    </w:p>
    <w:p w14:paraId="621990F0">
      <w:pPr>
        <w:pStyle w:val="4"/>
        <w:ind w:firstLine="480"/>
        <w:jc w:val="both"/>
        <w:rPr>
          <w:highlight w:val="none"/>
        </w:rPr>
      </w:pPr>
      <w:r>
        <w:rPr>
          <w:rFonts w:ascii="仿宋_GB2312" w:hAnsi="仿宋_GB2312" w:eastAsia="仿宋_GB2312" w:cs="仿宋_GB2312"/>
          <w:highlight w:val="none"/>
        </w:rPr>
        <w:t>b.未按照招标文件、投标文件的约定签订政府采购合同或提交履约保证金。</w:t>
      </w:r>
    </w:p>
    <w:p w14:paraId="63316719">
      <w:pPr>
        <w:pStyle w:val="4"/>
        <w:ind w:firstLine="480"/>
        <w:jc w:val="both"/>
        <w:rPr>
          <w:highlight w:val="none"/>
        </w:rPr>
      </w:pPr>
      <w:r>
        <w:rPr>
          <w:rFonts w:ascii="仿宋_GB2312" w:hAnsi="仿宋_GB2312" w:eastAsia="仿宋_GB2312" w:cs="仿宋_GB2312"/>
          <w:highlight w:val="none"/>
        </w:rPr>
        <w:t>※若上述投标保证金不予退还情形给采购人（采购代理机构）造成损失，则投标人还要承担相应的赔偿责任。</w:t>
      </w:r>
    </w:p>
    <w:p w14:paraId="3D64AF4C">
      <w:pPr>
        <w:pStyle w:val="4"/>
        <w:ind w:firstLine="480"/>
        <w:jc w:val="both"/>
        <w:rPr>
          <w:highlight w:val="none"/>
        </w:rPr>
      </w:pPr>
      <w:r>
        <w:rPr>
          <w:rFonts w:ascii="仿宋_GB2312" w:hAnsi="仿宋_GB2312" w:eastAsia="仿宋_GB2312" w:cs="仿宋_GB2312"/>
          <w:highlight w:val="none"/>
        </w:rPr>
        <w:t>10.10电子投标文件的提交</w:t>
      </w:r>
    </w:p>
    <w:p w14:paraId="56A58EBE">
      <w:pPr>
        <w:pStyle w:val="4"/>
        <w:ind w:firstLine="480"/>
        <w:jc w:val="both"/>
        <w:rPr>
          <w:highlight w:val="none"/>
        </w:rPr>
      </w:pPr>
      <w:r>
        <w:rPr>
          <w:rFonts w:ascii="仿宋_GB2312" w:hAnsi="仿宋_GB2312" w:eastAsia="仿宋_GB2312" w:cs="仿宋_GB2312"/>
          <w:highlight w:val="none"/>
        </w:rPr>
        <w:t>（1）一个投标人只能提交一个电子投标文件，并按照招标文件第一章规定在系统上完成上传、解密操作。</w:t>
      </w:r>
    </w:p>
    <w:p w14:paraId="376DD03A">
      <w:pPr>
        <w:pStyle w:val="4"/>
        <w:ind w:firstLine="480"/>
        <w:jc w:val="both"/>
        <w:rPr>
          <w:highlight w:val="none"/>
        </w:rPr>
      </w:pPr>
      <w:r>
        <w:rPr>
          <w:rFonts w:ascii="仿宋_GB2312" w:hAnsi="仿宋_GB2312" w:eastAsia="仿宋_GB2312" w:cs="仿宋_GB2312"/>
          <w:highlight w:val="none"/>
        </w:rPr>
        <w:t>10.11电子投标文件的补充、修改或撤回</w:t>
      </w:r>
    </w:p>
    <w:p w14:paraId="20A69E54">
      <w:pPr>
        <w:pStyle w:val="4"/>
        <w:ind w:firstLine="480"/>
        <w:jc w:val="both"/>
        <w:rPr>
          <w:highlight w:val="none"/>
        </w:rPr>
      </w:pPr>
      <w:r>
        <w:rPr>
          <w:rFonts w:ascii="仿宋_GB2312" w:hAnsi="仿宋_GB2312" w:eastAsia="仿宋_GB2312" w:cs="仿宋_GB2312"/>
          <w:highlight w:val="none"/>
        </w:rPr>
        <w:t>（1）投标截止时间前，投标人可对所提交的电子投标文件进行补充、修改或撤回，并书面通知 福建省公共资源交易中心 。</w:t>
      </w:r>
    </w:p>
    <w:p w14:paraId="2D6EA5D2">
      <w:pPr>
        <w:pStyle w:val="4"/>
        <w:ind w:firstLine="480"/>
        <w:jc w:val="both"/>
        <w:rPr>
          <w:highlight w:val="none"/>
        </w:rPr>
      </w:pPr>
      <w:r>
        <w:rPr>
          <w:rFonts w:ascii="仿宋_GB2312" w:hAnsi="仿宋_GB2312" w:eastAsia="仿宋_GB2312" w:cs="仿宋_GB2312"/>
          <w:highlight w:val="none"/>
        </w:rPr>
        <w:t>（2）补充、修改的内容应按照本章第10.5条第（4）款规定进行签署、盖章，并按照本章第10.10条规定提交，否则将被拒收。</w:t>
      </w:r>
    </w:p>
    <w:p w14:paraId="3FD68C10">
      <w:pPr>
        <w:pStyle w:val="4"/>
        <w:ind w:firstLine="480"/>
        <w:jc w:val="both"/>
        <w:rPr>
          <w:highlight w:val="none"/>
        </w:rPr>
      </w:pPr>
      <w:r>
        <w:rPr>
          <w:rFonts w:ascii="仿宋_GB2312" w:hAnsi="仿宋_GB2312" w:eastAsia="仿宋_GB2312" w:cs="仿宋_GB2312"/>
          <w:highlight w:val="none"/>
        </w:rPr>
        <w:t>※按照上述规定提交的补充、修改内容作为电子投标文件组成部分。</w:t>
      </w:r>
    </w:p>
    <w:p w14:paraId="4A3B3B04">
      <w:pPr>
        <w:pStyle w:val="4"/>
        <w:ind w:firstLine="480"/>
        <w:jc w:val="both"/>
        <w:rPr>
          <w:highlight w:val="none"/>
        </w:rPr>
      </w:pPr>
      <w:r>
        <w:rPr>
          <w:rFonts w:ascii="仿宋_GB2312" w:hAnsi="仿宋_GB2312" w:eastAsia="仿宋_GB2312" w:cs="仿宋_GB2312"/>
          <w:highlight w:val="none"/>
        </w:rPr>
        <w:t>10.12除招标文件另有规定外，有下列情形之一的，投标无效：</w:t>
      </w:r>
    </w:p>
    <w:p w14:paraId="223B47EC">
      <w:pPr>
        <w:pStyle w:val="4"/>
        <w:ind w:firstLine="480"/>
        <w:jc w:val="both"/>
        <w:rPr>
          <w:highlight w:val="none"/>
        </w:rPr>
      </w:pPr>
      <w:r>
        <w:rPr>
          <w:rFonts w:ascii="仿宋_GB2312" w:hAnsi="仿宋_GB2312" w:eastAsia="仿宋_GB2312" w:cs="仿宋_GB2312"/>
          <w:highlight w:val="none"/>
        </w:rPr>
        <w:t>（1）电子投标文件未按照招标文件要求签署、盖章；</w:t>
      </w:r>
    </w:p>
    <w:p w14:paraId="06D3D3F9">
      <w:pPr>
        <w:pStyle w:val="4"/>
        <w:ind w:firstLine="480"/>
        <w:jc w:val="both"/>
        <w:rPr>
          <w:highlight w:val="none"/>
        </w:rPr>
      </w:pPr>
      <w:r>
        <w:rPr>
          <w:rFonts w:ascii="仿宋_GB2312" w:hAnsi="仿宋_GB2312" w:eastAsia="仿宋_GB2312" w:cs="仿宋_GB2312"/>
          <w:highlight w:val="none"/>
        </w:rPr>
        <w:t>（2）不符合招标文件中规定的资格要求；</w:t>
      </w:r>
    </w:p>
    <w:p w14:paraId="39B5A272">
      <w:pPr>
        <w:pStyle w:val="4"/>
        <w:ind w:firstLine="480"/>
        <w:jc w:val="both"/>
        <w:rPr>
          <w:highlight w:val="none"/>
        </w:rPr>
      </w:pPr>
      <w:r>
        <w:rPr>
          <w:rFonts w:ascii="仿宋_GB2312" w:hAnsi="仿宋_GB2312" w:eastAsia="仿宋_GB2312" w:cs="仿宋_GB2312"/>
          <w:highlight w:val="none"/>
        </w:rPr>
        <w:t>（3）投标报价超过招标文件中规定的预算金额或最高限价；</w:t>
      </w:r>
    </w:p>
    <w:p w14:paraId="1BDD8FDF">
      <w:pPr>
        <w:pStyle w:val="4"/>
        <w:ind w:firstLine="480"/>
        <w:jc w:val="both"/>
        <w:rPr>
          <w:highlight w:val="none"/>
        </w:rPr>
      </w:pPr>
      <w:r>
        <w:rPr>
          <w:rFonts w:ascii="仿宋_GB2312" w:hAnsi="仿宋_GB2312" w:eastAsia="仿宋_GB2312" w:cs="仿宋_GB2312"/>
          <w:highlight w:val="none"/>
        </w:rPr>
        <w:t>（4）电子投标文件含有采购人不能接受的附加条件；</w:t>
      </w:r>
    </w:p>
    <w:p w14:paraId="2CE3F469">
      <w:pPr>
        <w:pStyle w:val="4"/>
        <w:ind w:firstLine="480"/>
        <w:jc w:val="both"/>
        <w:rPr>
          <w:highlight w:val="none"/>
        </w:rPr>
      </w:pPr>
      <w:r>
        <w:rPr>
          <w:rFonts w:ascii="仿宋_GB2312" w:hAnsi="仿宋_GB2312" w:eastAsia="仿宋_GB2312" w:cs="仿宋_GB2312"/>
          <w:highlight w:val="none"/>
        </w:rPr>
        <w:t>（5）有关法律、法规和规章及招标文件规定的其他无效情形。</w:t>
      </w:r>
    </w:p>
    <w:p w14:paraId="39E1F917">
      <w:pPr>
        <w:pStyle w:val="4"/>
        <w:jc w:val="both"/>
        <w:outlineLvl w:val="2"/>
        <w:rPr>
          <w:highlight w:val="none"/>
        </w:rPr>
      </w:pPr>
      <w:r>
        <w:rPr>
          <w:rFonts w:ascii="仿宋_GB2312" w:hAnsi="仿宋_GB2312" w:eastAsia="仿宋_GB2312" w:cs="仿宋_GB2312"/>
          <w:b/>
          <w:sz w:val="28"/>
          <w:highlight w:val="none"/>
        </w:rPr>
        <w:t>五、开标</w:t>
      </w:r>
    </w:p>
    <w:p w14:paraId="0CC5D673">
      <w:pPr>
        <w:pStyle w:val="4"/>
        <w:ind w:firstLine="480"/>
        <w:jc w:val="both"/>
        <w:rPr>
          <w:highlight w:val="none"/>
        </w:rPr>
      </w:pPr>
      <w:r>
        <w:rPr>
          <w:rFonts w:ascii="仿宋_GB2312" w:hAnsi="仿宋_GB2312" w:eastAsia="仿宋_GB2312" w:cs="仿宋_GB2312"/>
          <w:highlight w:val="none"/>
        </w:rPr>
        <w:t>11、开标</w:t>
      </w:r>
    </w:p>
    <w:p w14:paraId="0BB3B73B">
      <w:pPr>
        <w:pStyle w:val="4"/>
        <w:ind w:firstLine="480"/>
        <w:jc w:val="both"/>
        <w:rPr>
          <w:highlight w:val="none"/>
        </w:rPr>
      </w:pPr>
      <w:r>
        <w:rPr>
          <w:rFonts w:ascii="仿宋_GB2312" w:hAnsi="仿宋_GB2312" w:eastAsia="仿宋_GB2312" w:cs="仿宋_GB2312"/>
          <w:highlight w:val="none"/>
        </w:rPr>
        <w:t>11.1 福建省公共资源交易中心 将在招标文件载明的开标时间及地点主持召开开标会，并邀请投标人参加。</w:t>
      </w:r>
    </w:p>
    <w:p w14:paraId="7647A187">
      <w:pPr>
        <w:pStyle w:val="4"/>
        <w:ind w:firstLine="480"/>
        <w:jc w:val="both"/>
        <w:rPr>
          <w:highlight w:val="none"/>
        </w:rPr>
      </w:pPr>
      <w:r>
        <w:rPr>
          <w:rFonts w:ascii="仿宋_GB2312" w:hAnsi="仿宋_GB2312" w:eastAsia="仿宋_GB2312" w:cs="仿宋_GB2312"/>
          <w:highlight w:val="none"/>
        </w:rPr>
        <w:t>11.2开标会的主持人、唱标人、记录人及其他工作人员（若有）均由 福建省公共资源交易中心 派出，现场监督人员（若有）可由有关方面派出。</w:t>
      </w:r>
    </w:p>
    <w:p w14:paraId="0A074BD3">
      <w:pPr>
        <w:pStyle w:val="4"/>
        <w:ind w:firstLine="480"/>
        <w:jc w:val="both"/>
        <w:rPr>
          <w:highlight w:val="none"/>
        </w:rPr>
      </w:pPr>
      <w:r>
        <w:rPr>
          <w:rFonts w:ascii="仿宋_GB2312" w:hAnsi="仿宋_GB2312" w:eastAsia="仿宋_GB2312" w:cs="仿宋_GB2312"/>
          <w:highlight w:val="none"/>
        </w:rPr>
        <w:t>11.3本项目的开标环节，投标人可自行选择到开标现场参加开标会或者远程参加开标会。远程参与开标流程的投标人需提前在福建省政府采购网-服务专区中下载远程开标操作手册，并按照操作手册的要求参与开标会。如因投标人自身原因造成无法正常参与开标过程的，不利后果由投标人自行承担。</w:t>
      </w:r>
    </w:p>
    <w:p w14:paraId="1E83A9E3">
      <w:pPr>
        <w:pStyle w:val="4"/>
        <w:ind w:firstLine="480"/>
        <w:jc w:val="both"/>
        <w:rPr>
          <w:highlight w:val="none"/>
        </w:rPr>
      </w:pPr>
      <w:r>
        <w:rPr>
          <w:rFonts w:ascii="仿宋_GB2312" w:hAnsi="仿宋_GB2312" w:eastAsia="仿宋_GB2312" w:cs="仿宋_GB2312"/>
          <w:highlight w:val="none"/>
        </w:rPr>
        <w:t>11.4开标会应遵守下列规定：</w:t>
      </w:r>
    </w:p>
    <w:p w14:paraId="0B61C5E5">
      <w:pPr>
        <w:pStyle w:val="4"/>
        <w:ind w:firstLine="480"/>
        <w:jc w:val="both"/>
        <w:rPr>
          <w:highlight w:val="none"/>
        </w:rPr>
      </w:pPr>
      <w:r>
        <w:rPr>
          <w:rFonts w:ascii="仿宋_GB2312" w:hAnsi="仿宋_GB2312" w:eastAsia="仿宋_GB2312" w:cs="仿宋_GB2312"/>
          <w:highlight w:val="none"/>
        </w:rPr>
        <w:t>（1）首先由主持人宣布开标会须知，然后由投标人代表对电子投标文件的加密情况进行检查，经确认无误后，由工作人员对参加现场开标会投标人的电子投标文件进行解密。通过远程参与开标流程的投标人须在系统远程解密开启后，在代理机构规定时间内使用CA数字证书进行电子投标文件的解密操作，逾期未解密的视为放弃投标。</w:t>
      </w:r>
    </w:p>
    <w:p w14:paraId="48F3A8B0">
      <w:pPr>
        <w:pStyle w:val="4"/>
        <w:ind w:firstLine="480"/>
        <w:jc w:val="both"/>
        <w:rPr>
          <w:highlight w:val="none"/>
        </w:rPr>
      </w:pPr>
      <w:r>
        <w:rPr>
          <w:rFonts w:ascii="仿宋_GB2312" w:hAnsi="仿宋_GB2312" w:eastAsia="仿宋_GB2312" w:cs="仿宋_GB2312"/>
          <w:highlight w:val="none"/>
        </w:rPr>
        <w:t>（2）唱标时，唱标人将依次宣布“投标人名称”、“各投标人关于电子投标文件补充、修改或撤回的书面通知（若有）”、“各投标人的投标报价”和招标文件规定的需要宣布的其他内容（包括但不限于：开标（报价）一览表中的内容、唱标人认为需要宣布的内容等）。</w:t>
      </w:r>
    </w:p>
    <w:p w14:paraId="4928CE4F">
      <w:pPr>
        <w:pStyle w:val="4"/>
        <w:ind w:firstLine="480"/>
        <w:jc w:val="both"/>
        <w:rPr>
          <w:highlight w:val="none"/>
        </w:rPr>
      </w:pPr>
      <w:r>
        <w:rPr>
          <w:rFonts w:ascii="仿宋_GB2312" w:hAnsi="仿宋_GB2312" w:eastAsia="仿宋_GB2312" w:cs="仿宋_GB2312"/>
          <w:highlight w:val="none"/>
        </w:rPr>
        <w:t>（3）唱标结束后，参加现场开标会的投标人代表应对开标记录进行签字确认，通过远程参与开标流程的投标人须在系统远程签章开启后，在系统规定时间内对开标结果进行签章确认。</w:t>
      </w:r>
    </w:p>
    <w:p w14:paraId="4D7BCBCD">
      <w:pPr>
        <w:pStyle w:val="4"/>
        <w:ind w:firstLine="480"/>
        <w:jc w:val="both"/>
        <w:rPr>
          <w:highlight w:val="none"/>
        </w:rPr>
      </w:pPr>
      <w:r>
        <w:rPr>
          <w:rFonts w:ascii="仿宋_GB2312" w:hAnsi="仿宋_GB2312" w:eastAsia="仿宋_GB2312" w:cs="仿宋_GB2312"/>
          <w:highlight w:val="none"/>
        </w:rPr>
        <w:t>（4）投标人代表对开标过程和开标记录有疑义，以及认为采购人（采购代理机构）相关工作人员有需要回避情形的，应当场或通过系统提出询问或回避申请。投标人代表未按规定提出疑义又拒绝对开标记录签字或通过系统远程签章确认的，视为投标人对开标过程和开标记录予以认可。</w:t>
      </w:r>
    </w:p>
    <w:p w14:paraId="4D7784C4">
      <w:pPr>
        <w:pStyle w:val="4"/>
        <w:ind w:firstLine="480"/>
        <w:jc w:val="both"/>
        <w:rPr>
          <w:highlight w:val="none"/>
        </w:rPr>
      </w:pPr>
      <w:r>
        <w:rPr>
          <w:rFonts w:ascii="仿宋_GB2312" w:hAnsi="仿宋_GB2312" w:eastAsia="仿宋_GB2312" w:cs="仿宋_GB2312"/>
          <w:highlight w:val="none"/>
        </w:rPr>
        <w:t>（5）若投标人未到开标现场参加开标会，也未通过远程参加开标会的，视同认可开标结果。</w:t>
      </w:r>
    </w:p>
    <w:p w14:paraId="65206DAB">
      <w:pPr>
        <w:pStyle w:val="4"/>
        <w:ind w:firstLine="480"/>
        <w:jc w:val="both"/>
        <w:rPr>
          <w:highlight w:val="none"/>
        </w:rPr>
      </w:pPr>
      <w:r>
        <w:rPr>
          <w:rFonts w:ascii="仿宋_GB2312" w:hAnsi="仿宋_GB2312" w:eastAsia="仿宋_GB2312" w:cs="仿宋_GB2312"/>
          <w:highlight w:val="none"/>
        </w:rPr>
        <w:t>※若出现本章第11.4条第（3）、（4）、（5）款规定情形之一，则投标人不得在开标会后就开标过程和开标记录涉及或可能涉及的有关事由（包括但不限于：“投标报价”、“电子投标文件的格式”、“电子投标文件的提交”、“电子投标文件的补充、修改或撤回”等）向 福建省公共资源交易中心 提出任何疑义或要求（包括质疑）。</w:t>
      </w:r>
    </w:p>
    <w:p w14:paraId="3F322A50">
      <w:pPr>
        <w:pStyle w:val="4"/>
        <w:ind w:firstLine="480"/>
        <w:jc w:val="both"/>
        <w:rPr>
          <w:highlight w:val="none"/>
        </w:rPr>
      </w:pPr>
      <w:r>
        <w:rPr>
          <w:rFonts w:ascii="仿宋_GB2312" w:hAnsi="仿宋_GB2312" w:eastAsia="仿宋_GB2312" w:cs="仿宋_GB2312"/>
          <w:highlight w:val="none"/>
        </w:rPr>
        <w:t>11.5投标截止时间后，参加投标的投标人不足三家的，不进行开标。同时，本次采购活动结束， 福建省公共资源交易中心 将依法组织后续采购活动（包括但不限于：重新招标、采用其他方式采购等）。</w:t>
      </w:r>
    </w:p>
    <w:p w14:paraId="25A72CEB">
      <w:pPr>
        <w:pStyle w:val="4"/>
        <w:ind w:firstLine="480"/>
        <w:jc w:val="both"/>
        <w:rPr>
          <w:highlight w:val="none"/>
        </w:rPr>
      </w:pPr>
      <w:r>
        <w:rPr>
          <w:rFonts w:ascii="仿宋_GB2312" w:hAnsi="仿宋_GB2312" w:eastAsia="仿宋_GB2312" w:cs="仿宋_GB2312"/>
          <w:highlight w:val="none"/>
        </w:rPr>
        <w:t>11.6投标截止时间后撤销投标的处理</w:t>
      </w:r>
    </w:p>
    <w:p w14:paraId="02AD7919">
      <w:pPr>
        <w:pStyle w:val="4"/>
        <w:ind w:firstLine="480"/>
        <w:jc w:val="both"/>
        <w:rPr>
          <w:highlight w:val="none"/>
        </w:rPr>
      </w:pPr>
      <w:r>
        <w:rPr>
          <w:rFonts w:ascii="仿宋_GB2312" w:hAnsi="仿宋_GB2312" w:eastAsia="仿宋_GB2312" w:cs="仿宋_GB2312"/>
          <w:highlight w:val="none"/>
        </w:rPr>
        <w:t>投标截止时间后，投标人在投标有效期内撤销投标的，其撤销投标的行为无效。</w:t>
      </w:r>
    </w:p>
    <w:p w14:paraId="0D4E552A">
      <w:pPr>
        <w:pStyle w:val="4"/>
        <w:jc w:val="both"/>
        <w:outlineLvl w:val="2"/>
        <w:rPr>
          <w:highlight w:val="none"/>
        </w:rPr>
      </w:pPr>
      <w:r>
        <w:rPr>
          <w:rFonts w:ascii="仿宋_GB2312" w:hAnsi="仿宋_GB2312" w:eastAsia="仿宋_GB2312" w:cs="仿宋_GB2312"/>
          <w:b/>
          <w:sz w:val="28"/>
          <w:highlight w:val="none"/>
        </w:rPr>
        <w:t>六、中标与政府采购合同</w:t>
      </w:r>
    </w:p>
    <w:p w14:paraId="2F452EE4">
      <w:pPr>
        <w:pStyle w:val="4"/>
        <w:ind w:firstLine="480"/>
        <w:jc w:val="both"/>
        <w:rPr>
          <w:highlight w:val="none"/>
        </w:rPr>
      </w:pPr>
      <w:r>
        <w:rPr>
          <w:rFonts w:ascii="仿宋_GB2312" w:hAnsi="仿宋_GB2312" w:eastAsia="仿宋_GB2312" w:cs="仿宋_GB2312"/>
          <w:highlight w:val="none"/>
        </w:rPr>
        <w:t>12、中标</w:t>
      </w:r>
    </w:p>
    <w:p w14:paraId="355D7476">
      <w:pPr>
        <w:pStyle w:val="4"/>
        <w:ind w:firstLine="480"/>
        <w:jc w:val="both"/>
        <w:rPr>
          <w:highlight w:val="none"/>
        </w:rPr>
      </w:pPr>
      <w:r>
        <w:rPr>
          <w:rFonts w:ascii="仿宋_GB2312" w:hAnsi="仿宋_GB2312" w:eastAsia="仿宋_GB2312" w:cs="仿宋_GB2312"/>
          <w:highlight w:val="none"/>
        </w:rPr>
        <w:t>12.1本项目推荐的中标候选人家数：详见招标文件第二章。</w:t>
      </w:r>
    </w:p>
    <w:p w14:paraId="2CF9C474">
      <w:pPr>
        <w:pStyle w:val="4"/>
        <w:ind w:firstLine="480"/>
        <w:jc w:val="both"/>
        <w:rPr>
          <w:highlight w:val="none"/>
        </w:rPr>
      </w:pPr>
      <w:r>
        <w:rPr>
          <w:rFonts w:ascii="仿宋_GB2312" w:hAnsi="仿宋_GB2312" w:eastAsia="仿宋_GB2312" w:cs="仿宋_GB2312"/>
          <w:highlight w:val="none"/>
        </w:rPr>
        <w:t>12.2本项目中标人的确定：详见招标文件第二章。</w:t>
      </w:r>
    </w:p>
    <w:p w14:paraId="6CD79D50">
      <w:pPr>
        <w:pStyle w:val="4"/>
        <w:ind w:firstLine="480"/>
        <w:jc w:val="both"/>
        <w:rPr>
          <w:highlight w:val="none"/>
        </w:rPr>
      </w:pPr>
      <w:r>
        <w:rPr>
          <w:rFonts w:ascii="仿宋_GB2312" w:hAnsi="仿宋_GB2312" w:eastAsia="仿宋_GB2312" w:cs="仿宋_GB2312"/>
          <w:highlight w:val="none"/>
        </w:rPr>
        <w:t>12.3中标公告</w:t>
      </w:r>
    </w:p>
    <w:p w14:paraId="4499AC6E">
      <w:pPr>
        <w:pStyle w:val="4"/>
        <w:ind w:firstLine="480"/>
        <w:jc w:val="both"/>
        <w:rPr>
          <w:highlight w:val="none"/>
        </w:rPr>
      </w:pPr>
      <w:r>
        <w:rPr>
          <w:rFonts w:ascii="仿宋_GB2312" w:hAnsi="仿宋_GB2312" w:eastAsia="仿宋_GB2312" w:cs="仿宋_GB2312"/>
          <w:highlight w:val="none"/>
        </w:rPr>
        <w:t>（1）中标人确定之日起2个工作日内， 福建省公共资源交易中心 将在招标文件载明的指定媒体以中标公告的形式发布中标结果。</w:t>
      </w:r>
    </w:p>
    <w:p w14:paraId="2E9859FE">
      <w:pPr>
        <w:pStyle w:val="4"/>
        <w:ind w:firstLine="480"/>
        <w:jc w:val="both"/>
        <w:rPr>
          <w:highlight w:val="none"/>
        </w:rPr>
      </w:pPr>
      <w:r>
        <w:rPr>
          <w:rFonts w:ascii="仿宋_GB2312" w:hAnsi="仿宋_GB2312" w:eastAsia="仿宋_GB2312" w:cs="仿宋_GB2312"/>
          <w:highlight w:val="none"/>
        </w:rPr>
        <w:t>（2）中标公告的公告期限为1个工作日。</w:t>
      </w:r>
    </w:p>
    <w:p w14:paraId="748EC5FD">
      <w:pPr>
        <w:pStyle w:val="4"/>
        <w:ind w:firstLine="480"/>
        <w:jc w:val="both"/>
        <w:rPr>
          <w:highlight w:val="none"/>
        </w:rPr>
      </w:pPr>
      <w:r>
        <w:rPr>
          <w:rFonts w:ascii="仿宋_GB2312" w:hAnsi="仿宋_GB2312" w:eastAsia="仿宋_GB2312" w:cs="仿宋_GB2312"/>
          <w:highlight w:val="none"/>
        </w:rPr>
        <w:t>12.4中标通知书</w:t>
      </w:r>
    </w:p>
    <w:p w14:paraId="6E59591B">
      <w:pPr>
        <w:pStyle w:val="4"/>
        <w:ind w:firstLine="480"/>
        <w:jc w:val="both"/>
        <w:rPr>
          <w:highlight w:val="none"/>
        </w:rPr>
      </w:pPr>
      <w:r>
        <w:rPr>
          <w:rFonts w:ascii="仿宋_GB2312" w:hAnsi="仿宋_GB2312" w:eastAsia="仿宋_GB2312" w:cs="仿宋_GB2312"/>
          <w:highlight w:val="none"/>
        </w:rPr>
        <w:t>（1）中标公告发布的同时， 福建省公共资源交易中心 将向中标人发出中标通知书。</w:t>
      </w:r>
    </w:p>
    <w:p w14:paraId="3D0C009C">
      <w:pPr>
        <w:pStyle w:val="4"/>
        <w:ind w:firstLine="480"/>
        <w:jc w:val="both"/>
        <w:rPr>
          <w:highlight w:val="none"/>
        </w:rPr>
      </w:pPr>
      <w:r>
        <w:rPr>
          <w:rFonts w:ascii="仿宋_GB2312" w:hAnsi="仿宋_GB2312" w:eastAsia="仿宋_GB2312" w:cs="仿宋_GB2312"/>
          <w:highlight w:val="none"/>
        </w:rPr>
        <w:t>（2）中标通知书发出后，采购人不得违法改变中标结果，中标人无正当理由不得放弃中标。</w:t>
      </w:r>
    </w:p>
    <w:p w14:paraId="0DA1182C">
      <w:pPr>
        <w:pStyle w:val="4"/>
        <w:ind w:firstLine="480"/>
        <w:jc w:val="both"/>
        <w:rPr>
          <w:highlight w:val="none"/>
        </w:rPr>
      </w:pPr>
      <w:r>
        <w:rPr>
          <w:rFonts w:ascii="仿宋_GB2312" w:hAnsi="仿宋_GB2312" w:eastAsia="仿宋_GB2312" w:cs="仿宋_GB2312"/>
          <w:highlight w:val="none"/>
        </w:rPr>
        <w:t>13、政府采购合同</w:t>
      </w:r>
    </w:p>
    <w:p w14:paraId="1A13AEB0">
      <w:pPr>
        <w:pStyle w:val="4"/>
        <w:ind w:firstLine="480"/>
        <w:jc w:val="both"/>
        <w:rPr>
          <w:highlight w:val="none"/>
        </w:rPr>
      </w:pPr>
      <w:r>
        <w:rPr>
          <w:rFonts w:ascii="仿宋_GB2312" w:hAnsi="仿宋_GB2312" w:eastAsia="仿宋_GB2312" w:cs="仿宋_GB2312"/>
          <w:highlight w:val="none"/>
        </w:rPr>
        <w:t>13.1签订政府采购合同应遵守政府采购法及实施条例的规定，不得对招标文件确定的事项和中标人的电子投标文件作实质性修改。采购人不得向中标人提出任何不合理的要求作为政府采购合同的签订条件。</w:t>
      </w:r>
    </w:p>
    <w:p w14:paraId="3048A40C">
      <w:pPr>
        <w:pStyle w:val="4"/>
        <w:ind w:firstLine="480"/>
        <w:jc w:val="both"/>
        <w:rPr>
          <w:highlight w:val="none"/>
        </w:rPr>
      </w:pPr>
      <w:r>
        <w:rPr>
          <w:rFonts w:ascii="仿宋_GB2312" w:hAnsi="仿宋_GB2312" w:eastAsia="仿宋_GB2312" w:cs="仿宋_GB2312"/>
          <w:highlight w:val="none"/>
        </w:rPr>
        <w:t>13.2签订时限：详见须知前附表1的13.2。</w:t>
      </w:r>
    </w:p>
    <w:p w14:paraId="0A9DFB57">
      <w:pPr>
        <w:pStyle w:val="4"/>
        <w:ind w:firstLine="480"/>
        <w:jc w:val="both"/>
        <w:rPr>
          <w:highlight w:val="none"/>
        </w:rPr>
      </w:pPr>
      <w:r>
        <w:rPr>
          <w:rFonts w:ascii="仿宋_GB2312" w:hAnsi="仿宋_GB2312" w:eastAsia="仿宋_GB2312" w:cs="仿宋_GB2312"/>
          <w:highlight w:val="none"/>
        </w:rPr>
        <w:t>13.3政府采购合同的履行、违约责任和解决争议的方法等适用民法典。</w:t>
      </w:r>
    </w:p>
    <w:p w14:paraId="38BCC877">
      <w:pPr>
        <w:pStyle w:val="4"/>
        <w:ind w:firstLine="480"/>
        <w:jc w:val="both"/>
        <w:rPr>
          <w:highlight w:val="none"/>
        </w:rPr>
      </w:pPr>
      <w:r>
        <w:rPr>
          <w:rFonts w:ascii="仿宋_GB2312" w:hAnsi="仿宋_GB2312" w:eastAsia="仿宋_GB2312" w:cs="仿宋_GB2312"/>
          <w:highlight w:val="none"/>
        </w:rPr>
        <w:t>13.4采购人与中标人应根据政府采购合同的约定依法履行合同义务。</w:t>
      </w:r>
    </w:p>
    <w:p w14:paraId="0F3B4D50">
      <w:pPr>
        <w:pStyle w:val="4"/>
        <w:ind w:firstLine="480"/>
        <w:jc w:val="both"/>
        <w:rPr>
          <w:highlight w:val="none"/>
        </w:rPr>
      </w:pPr>
      <w:r>
        <w:rPr>
          <w:rFonts w:ascii="仿宋_GB2312" w:hAnsi="仿宋_GB2312" w:eastAsia="仿宋_GB2312" w:cs="仿宋_GB2312"/>
          <w:highlight w:val="none"/>
        </w:rPr>
        <w:t>13.5政府采购合同履行过程中，采购人若需追加与合同标的相同的货物或服务，则追加采购金额不得超过原合同采购金额的10%。</w:t>
      </w:r>
    </w:p>
    <w:p w14:paraId="2630C92D">
      <w:pPr>
        <w:pStyle w:val="4"/>
        <w:ind w:firstLine="480"/>
        <w:jc w:val="both"/>
        <w:rPr>
          <w:highlight w:val="none"/>
        </w:rPr>
      </w:pPr>
      <w:r>
        <w:rPr>
          <w:rFonts w:ascii="仿宋_GB2312" w:hAnsi="仿宋_GB2312" w:eastAsia="仿宋_GB2312" w:cs="仿宋_GB2312"/>
          <w:highlight w:val="none"/>
        </w:rPr>
        <w:t>13.6中标人在政府采购合同履行过程中应遵守有关法律、法规和规章的强制性规定（即使前述强制性规定有可能在招标文件中未予列明）。</w:t>
      </w:r>
    </w:p>
    <w:p w14:paraId="697C6DDB">
      <w:pPr>
        <w:pStyle w:val="4"/>
        <w:jc w:val="both"/>
        <w:outlineLvl w:val="2"/>
        <w:rPr>
          <w:highlight w:val="none"/>
        </w:rPr>
      </w:pPr>
      <w:r>
        <w:rPr>
          <w:rFonts w:ascii="仿宋_GB2312" w:hAnsi="仿宋_GB2312" w:eastAsia="仿宋_GB2312" w:cs="仿宋_GB2312"/>
          <w:b/>
          <w:sz w:val="28"/>
          <w:highlight w:val="none"/>
        </w:rPr>
        <w:t>七、询问、质疑与投诉</w:t>
      </w:r>
    </w:p>
    <w:p w14:paraId="0270B629">
      <w:pPr>
        <w:pStyle w:val="4"/>
        <w:ind w:firstLine="480"/>
        <w:jc w:val="both"/>
        <w:rPr>
          <w:highlight w:val="none"/>
        </w:rPr>
      </w:pPr>
      <w:r>
        <w:rPr>
          <w:rFonts w:ascii="仿宋_GB2312" w:hAnsi="仿宋_GB2312" w:eastAsia="仿宋_GB2312" w:cs="仿宋_GB2312"/>
          <w:highlight w:val="none"/>
        </w:rPr>
        <w:t>14、询问</w:t>
      </w:r>
    </w:p>
    <w:p w14:paraId="08D1B0EB">
      <w:pPr>
        <w:pStyle w:val="4"/>
        <w:ind w:firstLine="480"/>
        <w:jc w:val="both"/>
        <w:rPr>
          <w:highlight w:val="none"/>
        </w:rPr>
      </w:pPr>
      <w:r>
        <w:rPr>
          <w:rFonts w:ascii="仿宋_GB2312" w:hAnsi="仿宋_GB2312" w:eastAsia="仿宋_GB2312" w:cs="仿宋_GB2312"/>
          <w:highlight w:val="none"/>
        </w:rPr>
        <w:t>14.1潜在投标人或投标人对本次采购活动的有关事项若有疑问，可向 福建省公共资源交易中心 提出询问， 福建省公共资源交易中心 将按照政府采购法及实施条例的有关规定进行答复。</w:t>
      </w:r>
    </w:p>
    <w:p w14:paraId="2A39136B">
      <w:pPr>
        <w:pStyle w:val="4"/>
        <w:ind w:firstLine="480"/>
        <w:jc w:val="both"/>
        <w:rPr>
          <w:highlight w:val="none"/>
        </w:rPr>
      </w:pPr>
      <w:r>
        <w:rPr>
          <w:rFonts w:ascii="仿宋_GB2312" w:hAnsi="仿宋_GB2312" w:eastAsia="仿宋_GB2312" w:cs="仿宋_GB2312"/>
          <w:highlight w:val="none"/>
        </w:rPr>
        <w:t>15、质疑</w:t>
      </w:r>
    </w:p>
    <w:p w14:paraId="6BB89ECC">
      <w:pPr>
        <w:pStyle w:val="4"/>
        <w:ind w:firstLine="480"/>
        <w:jc w:val="both"/>
        <w:rPr>
          <w:highlight w:val="none"/>
        </w:rPr>
      </w:pPr>
      <w:r>
        <w:rPr>
          <w:rFonts w:ascii="仿宋_GB2312" w:hAnsi="仿宋_GB2312" w:eastAsia="仿宋_GB2312" w:cs="仿宋_GB2312"/>
          <w:highlight w:val="none"/>
        </w:rPr>
        <w:t>15.1针对同一采购程序环节的质疑应在政府采购法及实施条例的时限内一次性提出，对一个项目的不同采购包提出质疑的，应当将各采购包质疑事项集中在一份质疑函中提出，并同时符合下列条件：</w:t>
      </w:r>
    </w:p>
    <w:p w14:paraId="3D7113F9">
      <w:pPr>
        <w:pStyle w:val="4"/>
        <w:ind w:firstLine="480"/>
        <w:jc w:val="both"/>
        <w:rPr>
          <w:highlight w:val="none"/>
        </w:rPr>
      </w:pPr>
      <w:r>
        <w:rPr>
          <w:rFonts w:ascii="仿宋_GB2312" w:hAnsi="仿宋_GB2312" w:eastAsia="仿宋_GB2312" w:cs="仿宋_GB2312"/>
          <w:highlight w:val="none"/>
        </w:rPr>
        <w:t>（1）对招标文件提出质疑的，质疑人应为潜在投标人，且两者的身份、名称等均应保持一致。对采购过程、结果提出质疑的，质疑人应为投标人，且两者的身份、名称等均应保持一致。</w:t>
      </w:r>
    </w:p>
    <w:p w14:paraId="33F4BF4B">
      <w:pPr>
        <w:pStyle w:val="4"/>
        <w:ind w:firstLine="480"/>
        <w:jc w:val="both"/>
        <w:rPr>
          <w:highlight w:val="none"/>
        </w:rPr>
      </w:pPr>
      <w:r>
        <w:rPr>
          <w:rFonts w:ascii="仿宋_GB2312" w:hAnsi="仿宋_GB2312" w:eastAsia="仿宋_GB2312" w:cs="仿宋_GB2312"/>
          <w:highlight w:val="none"/>
        </w:rPr>
        <w:t>（2）质疑人应按照招标文件第二章规定方式提交质疑函。</w:t>
      </w:r>
    </w:p>
    <w:p w14:paraId="2238C3A1">
      <w:pPr>
        <w:pStyle w:val="4"/>
        <w:ind w:firstLine="480"/>
        <w:jc w:val="both"/>
        <w:rPr>
          <w:highlight w:val="none"/>
        </w:rPr>
      </w:pPr>
      <w:r>
        <w:rPr>
          <w:rFonts w:ascii="仿宋_GB2312" w:hAnsi="仿宋_GB2312" w:eastAsia="仿宋_GB2312" w:cs="仿宋_GB2312"/>
          <w:highlight w:val="none"/>
        </w:rPr>
        <w:t>（3）质疑函应包括下列主要内容：</w:t>
      </w:r>
    </w:p>
    <w:p w14:paraId="2FA6739C">
      <w:pPr>
        <w:pStyle w:val="4"/>
        <w:ind w:firstLine="480"/>
        <w:jc w:val="both"/>
        <w:rPr>
          <w:highlight w:val="none"/>
        </w:rPr>
      </w:pPr>
      <w:r>
        <w:rPr>
          <w:rFonts w:ascii="仿宋_GB2312" w:hAnsi="仿宋_GB2312" w:eastAsia="仿宋_GB2312" w:cs="仿宋_GB2312"/>
          <w:highlight w:val="none"/>
        </w:rPr>
        <w:t>①质疑人的基本信息，至少包括：全称、地址、邮政编码等；</w:t>
      </w:r>
    </w:p>
    <w:p w14:paraId="62E11A68">
      <w:pPr>
        <w:pStyle w:val="4"/>
        <w:ind w:firstLine="480"/>
        <w:jc w:val="both"/>
        <w:rPr>
          <w:highlight w:val="none"/>
        </w:rPr>
      </w:pPr>
      <w:r>
        <w:rPr>
          <w:rFonts w:ascii="仿宋_GB2312" w:hAnsi="仿宋_GB2312" w:eastAsia="仿宋_GB2312" w:cs="仿宋_GB2312"/>
          <w:highlight w:val="none"/>
        </w:rPr>
        <w:t>②所质疑项目的基本信息，至少包括：项目编号、项目名称等；</w:t>
      </w:r>
    </w:p>
    <w:p w14:paraId="64639CE5">
      <w:pPr>
        <w:pStyle w:val="4"/>
        <w:ind w:firstLine="480"/>
        <w:jc w:val="both"/>
        <w:rPr>
          <w:highlight w:val="none"/>
        </w:rPr>
      </w:pPr>
      <w:r>
        <w:rPr>
          <w:rFonts w:ascii="仿宋_GB2312" w:hAnsi="仿宋_GB2312" w:eastAsia="仿宋_GB2312" w:cs="仿宋_GB2312"/>
          <w:highlight w:val="none"/>
        </w:rPr>
        <w:t>③所质疑的具体事项（以下简称：“质疑事项”）；</w:t>
      </w:r>
    </w:p>
    <w:p w14:paraId="04925735">
      <w:pPr>
        <w:pStyle w:val="4"/>
        <w:ind w:firstLine="480"/>
        <w:jc w:val="both"/>
        <w:rPr>
          <w:highlight w:val="none"/>
        </w:rPr>
      </w:pPr>
      <w:r>
        <w:rPr>
          <w:rFonts w:ascii="仿宋_GB2312" w:hAnsi="仿宋_GB2312" w:eastAsia="仿宋_GB2312" w:cs="仿宋_GB2312"/>
          <w:highlight w:val="none"/>
        </w:rPr>
        <w:t>④针对质疑事项提出的明确请求，前述明确请求指质疑人提出质疑的目的以及希望 福建省公共资源交易中心 对其质疑作出的处理结果，如：暂停招标投标活动、修改招标文件、停止或纠正违法违规行为、中标结果无效、废标、重新招标等；</w:t>
      </w:r>
    </w:p>
    <w:p w14:paraId="142F4E74">
      <w:pPr>
        <w:pStyle w:val="4"/>
        <w:ind w:firstLine="480"/>
        <w:jc w:val="both"/>
        <w:rPr>
          <w:highlight w:val="none"/>
        </w:rPr>
      </w:pPr>
      <w:r>
        <w:rPr>
          <w:rFonts w:ascii="仿宋_GB2312" w:hAnsi="仿宋_GB2312" w:eastAsia="仿宋_GB2312" w:cs="仿宋_GB2312"/>
          <w:highlight w:val="none"/>
        </w:rPr>
        <w:t>⑤针对质疑事项导致质疑人自身权益受到损害的必要证明材料，至少包括：</w:t>
      </w:r>
    </w:p>
    <w:p w14:paraId="529D5D44">
      <w:pPr>
        <w:pStyle w:val="4"/>
        <w:ind w:firstLine="480"/>
        <w:jc w:val="both"/>
        <w:rPr>
          <w:highlight w:val="none"/>
        </w:rPr>
      </w:pPr>
      <w:r>
        <w:rPr>
          <w:rFonts w:ascii="仿宋_GB2312" w:hAnsi="仿宋_GB2312" w:eastAsia="仿宋_GB2312" w:cs="仿宋_GB2312"/>
          <w:highlight w:val="none"/>
        </w:rPr>
        <w:t>a.质疑人代表的身份证明材料：</w:t>
      </w:r>
    </w:p>
    <w:p w14:paraId="4D6082C7">
      <w:pPr>
        <w:pStyle w:val="4"/>
        <w:ind w:firstLine="480"/>
        <w:jc w:val="both"/>
        <w:rPr>
          <w:highlight w:val="none"/>
        </w:rPr>
      </w:pPr>
      <w:r>
        <w:rPr>
          <w:rFonts w:ascii="仿宋_GB2312" w:hAnsi="仿宋_GB2312" w:eastAsia="仿宋_GB2312" w:cs="仿宋_GB2312"/>
          <w:highlight w:val="none"/>
        </w:rPr>
        <w:t>a1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14:paraId="65FE1757">
      <w:pPr>
        <w:pStyle w:val="4"/>
        <w:ind w:firstLine="480"/>
        <w:jc w:val="both"/>
        <w:rPr>
          <w:highlight w:val="none"/>
        </w:rPr>
      </w:pPr>
      <w:r>
        <w:rPr>
          <w:rFonts w:ascii="仿宋_GB2312" w:hAnsi="仿宋_GB2312" w:eastAsia="仿宋_GB2312" w:cs="仿宋_GB2312"/>
          <w:highlight w:val="none"/>
        </w:rPr>
        <w:t>a2若本项目接受自然人投标且质疑人为自然人的，提供本人的身份证复印件。</w:t>
      </w:r>
    </w:p>
    <w:p w14:paraId="1919ABE6">
      <w:pPr>
        <w:pStyle w:val="4"/>
        <w:ind w:firstLine="480"/>
        <w:jc w:val="both"/>
        <w:rPr>
          <w:highlight w:val="none"/>
        </w:rPr>
      </w:pPr>
      <w:r>
        <w:rPr>
          <w:rFonts w:ascii="仿宋_GB2312" w:hAnsi="仿宋_GB2312" w:eastAsia="仿宋_GB2312" w:cs="仿宋_GB2312"/>
          <w:highlight w:val="none"/>
        </w:rPr>
        <w:t>b.其他证明材料（即事实依据和必要的法律依据）包括但不限于下列材料：</w:t>
      </w:r>
    </w:p>
    <w:p w14:paraId="6B2D9088">
      <w:pPr>
        <w:pStyle w:val="4"/>
        <w:ind w:firstLine="480"/>
        <w:jc w:val="both"/>
        <w:rPr>
          <w:highlight w:val="none"/>
        </w:rPr>
      </w:pPr>
      <w:r>
        <w:rPr>
          <w:rFonts w:ascii="仿宋_GB2312" w:hAnsi="仿宋_GB2312" w:eastAsia="仿宋_GB2312" w:cs="仿宋_GB2312"/>
          <w:highlight w:val="none"/>
        </w:rPr>
        <w:t>b1所质疑的具体事项是与自己有利害关系的证明材料；</w:t>
      </w:r>
    </w:p>
    <w:p w14:paraId="1F1A0A1E">
      <w:pPr>
        <w:pStyle w:val="4"/>
        <w:ind w:firstLine="480"/>
        <w:jc w:val="both"/>
        <w:rPr>
          <w:highlight w:val="none"/>
        </w:rPr>
      </w:pPr>
      <w:r>
        <w:rPr>
          <w:rFonts w:ascii="仿宋_GB2312" w:hAnsi="仿宋_GB2312" w:eastAsia="仿宋_GB2312" w:cs="仿宋_GB2312"/>
          <w:highlight w:val="none"/>
        </w:rPr>
        <w:t>b2质疑函所述事实存在的证明材料，如：采购文件、采购过程或中标结果违法违规或不符合采购文件要求等证明材料；</w:t>
      </w:r>
    </w:p>
    <w:p w14:paraId="30074182">
      <w:pPr>
        <w:pStyle w:val="4"/>
        <w:ind w:firstLine="480"/>
        <w:jc w:val="both"/>
        <w:rPr>
          <w:highlight w:val="none"/>
        </w:rPr>
      </w:pPr>
      <w:r>
        <w:rPr>
          <w:rFonts w:ascii="仿宋_GB2312" w:hAnsi="仿宋_GB2312" w:eastAsia="仿宋_GB2312" w:cs="仿宋_GB2312"/>
          <w:highlight w:val="none"/>
        </w:rPr>
        <w:t>b3依法应终止采购程序的证明材料；</w:t>
      </w:r>
    </w:p>
    <w:p w14:paraId="4C3763B9">
      <w:pPr>
        <w:pStyle w:val="4"/>
        <w:ind w:firstLine="480"/>
        <w:jc w:val="both"/>
        <w:rPr>
          <w:highlight w:val="none"/>
        </w:rPr>
      </w:pPr>
      <w:r>
        <w:rPr>
          <w:rFonts w:ascii="仿宋_GB2312" w:hAnsi="仿宋_GB2312" w:eastAsia="仿宋_GB2312" w:cs="仿宋_GB2312"/>
          <w:highlight w:val="none"/>
        </w:rPr>
        <w:t>b4应重新采购的证明材料；</w:t>
      </w:r>
    </w:p>
    <w:p w14:paraId="41D2E526">
      <w:pPr>
        <w:pStyle w:val="4"/>
        <w:ind w:firstLine="480"/>
        <w:jc w:val="both"/>
        <w:rPr>
          <w:highlight w:val="none"/>
        </w:rPr>
      </w:pPr>
      <w:r>
        <w:rPr>
          <w:rFonts w:ascii="仿宋_GB2312" w:hAnsi="仿宋_GB2312" w:eastAsia="仿宋_GB2312" w:cs="仿宋_GB2312"/>
          <w:highlight w:val="none"/>
        </w:rPr>
        <w:t>b5采购文件、采购过程或中标、成交结果损害自己合法权益的证明材料等；</w:t>
      </w:r>
    </w:p>
    <w:p w14:paraId="406DBBD8">
      <w:pPr>
        <w:pStyle w:val="4"/>
        <w:ind w:firstLine="480"/>
        <w:jc w:val="both"/>
        <w:rPr>
          <w:highlight w:val="none"/>
        </w:rPr>
      </w:pPr>
      <w:r>
        <w:rPr>
          <w:rFonts w:ascii="仿宋_GB2312" w:hAnsi="仿宋_GB2312" w:eastAsia="仿宋_GB2312" w:cs="仿宋_GB2312"/>
          <w:highlight w:val="none"/>
        </w:rPr>
        <w:t>b6若质疑的具体事项按照有关法律、法规和规章规定处于保密阶段，则应提供信息或证明材料为合法或公开渠道获得的有效证据（若证据无法有效表明信息或证明材料为合法或公开渠道获得，则前述信息或证明材料视为无效）。</w:t>
      </w:r>
    </w:p>
    <w:p w14:paraId="229B5744">
      <w:pPr>
        <w:pStyle w:val="4"/>
        <w:ind w:firstLine="480"/>
        <w:jc w:val="both"/>
        <w:rPr>
          <w:highlight w:val="none"/>
        </w:rPr>
      </w:pPr>
      <w:r>
        <w:rPr>
          <w:rFonts w:ascii="仿宋_GB2312" w:hAnsi="仿宋_GB2312" w:eastAsia="仿宋_GB2312" w:cs="仿宋_GB2312"/>
          <w:highlight w:val="none"/>
        </w:rPr>
        <w:t>⑥质疑人代表及其联系方法的信息，至少包括：姓名、手机、电子信箱、邮寄地址等。</w:t>
      </w:r>
    </w:p>
    <w:p w14:paraId="1CEDB7DC">
      <w:pPr>
        <w:pStyle w:val="4"/>
        <w:ind w:firstLine="480"/>
        <w:jc w:val="both"/>
        <w:rPr>
          <w:highlight w:val="none"/>
        </w:rPr>
      </w:pPr>
      <w:r>
        <w:rPr>
          <w:rFonts w:ascii="仿宋_GB2312" w:hAnsi="仿宋_GB2312" w:eastAsia="仿宋_GB2312" w:cs="仿宋_GB2312"/>
          <w:highlight w:val="none"/>
        </w:rPr>
        <w:t>⑦提出质疑的日期。</w:t>
      </w:r>
    </w:p>
    <w:p w14:paraId="375607EC">
      <w:pPr>
        <w:pStyle w:val="4"/>
        <w:ind w:firstLine="480"/>
        <w:jc w:val="both"/>
        <w:rPr>
          <w:highlight w:val="none"/>
        </w:rPr>
      </w:pPr>
      <w:r>
        <w:rPr>
          <w:rFonts w:ascii="仿宋_GB2312" w:hAnsi="仿宋_GB2312" w:eastAsia="仿宋_GB2312" w:cs="仿宋_GB2312"/>
          <w:highlight w:val="none"/>
        </w:rPr>
        <w:t>※质疑人为法人或其他组织的，质疑函应由单位负责人或委托代理人签字或盖章，并加盖投标人的单位公章。质疑人为自然人的，质疑函应由本人签字。</w:t>
      </w:r>
    </w:p>
    <w:p w14:paraId="47883407">
      <w:pPr>
        <w:pStyle w:val="4"/>
        <w:ind w:firstLine="480"/>
        <w:jc w:val="both"/>
        <w:rPr>
          <w:highlight w:val="none"/>
        </w:rPr>
      </w:pPr>
      <w:r>
        <w:rPr>
          <w:rFonts w:ascii="仿宋_GB2312" w:hAnsi="仿宋_GB2312" w:eastAsia="仿宋_GB2312" w:cs="仿宋_GB2312"/>
          <w:highlight w:val="none"/>
        </w:rPr>
        <w:t>15.2对不符合本章第15.1条规定的质疑，将按照下列规定进行处理：</w:t>
      </w:r>
    </w:p>
    <w:p w14:paraId="6AB71759">
      <w:pPr>
        <w:pStyle w:val="4"/>
        <w:ind w:firstLine="480"/>
        <w:jc w:val="both"/>
        <w:rPr>
          <w:highlight w:val="none"/>
        </w:rPr>
      </w:pPr>
      <w:r>
        <w:rPr>
          <w:rFonts w:ascii="仿宋_GB2312" w:hAnsi="仿宋_GB2312" w:eastAsia="仿宋_GB2312" w:cs="仿宋_GB2312"/>
          <w:highlight w:val="none"/>
        </w:rPr>
        <w:t>（1）不符合其中第（1）、（2）条规定的，书面告知质疑人不予受理及其理由。</w:t>
      </w:r>
    </w:p>
    <w:p w14:paraId="34096507">
      <w:pPr>
        <w:pStyle w:val="4"/>
        <w:ind w:firstLine="480"/>
        <w:jc w:val="both"/>
        <w:rPr>
          <w:highlight w:val="none"/>
        </w:rPr>
      </w:pPr>
      <w:r>
        <w:rPr>
          <w:rFonts w:ascii="仿宋_GB2312" w:hAnsi="仿宋_GB2312" w:eastAsia="仿宋_GB2312" w:cs="仿宋_GB2312"/>
          <w:highlight w:val="none"/>
        </w:rPr>
        <w:t>（2）不符合其中第（3）条规定的，书面告知质疑人修改、补充后在规定时限内重新提交质疑函。</w:t>
      </w:r>
    </w:p>
    <w:p w14:paraId="5DEE9331">
      <w:pPr>
        <w:pStyle w:val="4"/>
        <w:ind w:firstLine="480"/>
        <w:jc w:val="both"/>
        <w:rPr>
          <w:highlight w:val="none"/>
        </w:rPr>
      </w:pPr>
      <w:r>
        <w:rPr>
          <w:rFonts w:ascii="仿宋_GB2312" w:hAnsi="仿宋_GB2312" w:eastAsia="仿宋_GB2312" w:cs="仿宋_GB2312"/>
          <w:highlight w:val="none"/>
        </w:rPr>
        <w:t>15.3对符合本章第15.1条规定的质疑，将按照政府采购法及实施条例、政府采购质疑和投诉办法的有关规定进行答复。</w:t>
      </w:r>
    </w:p>
    <w:p w14:paraId="0E07F094">
      <w:pPr>
        <w:pStyle w:val="4"/>
        <w:ind w:firstLine="480"/>
        <w:jc w:val="both"/>
        <w:rPr>
          <w:highlight w:val="none"/>
        </w:rPr>
      </w:pPr>
      <w:r>
        <w:rPr>
          <w:rFonts w:ascii="仿宋_GB2312" w:hAnsi="仿宋_GB2312" w:eastAsia="仿宋_GB2312" w:cs="仿宋_GB2312"/>
          <w:highlight w:val="none"/>
        </w:rPr>
        <w:t>15.4招标文件的质疑：详见招标文件第二章。</w:t>
      </w:r>
    </w:p>
    <w:p w14:paraId="3B3702BA">
      <w:pPr>
        <w:pStyle w:val="4"/>
        <w:ind w:firstLine="480"/>
        <w:jc w:val="both"/>
        <w:rPr>
          <w:highlight w:val="none"/>
        </w:rPr>
      </w:pPr>
      <w:r>
        <w:rPr>
          <w:rFonts w:ascii="仿宋_GB2312" w:hAnsi="仿宋_GB2312" w:eastAsia="仿宋_GB2312" w:cs="仿宋_GB2312"/>
          <w:highlight w:val="none"/>
        </w:rPr>
        <w:t>16、投诉</w:t>
      </w:r>
    </w:p>
    <w:p w14:paraId="153B085C">
      <w:pPr>
        <w:pStyle w:val="4"/>
        <w:ind w:firstLine="480"/>
        <w:jc w:val="both"/>
        <w:rPr>
          <w:highlight w:val="none"/>
        </w:rPr>
      </w:pPr>
      <w:r>
        <w:rPr>
          <w:rFonts w:ascii="仿宋_GB2312" w:hAnsi="仿宋_GB2312" w:eastAsia="仿宋_GB2312" w:cs="仿宋_GB2312"/>
          <w:highlight w:val="none"/>
        </w:rPr>
        <w:t>16.1若对质疑答复不满意或质疑答复未在答复期限内作出，质疑人可在答复期限届满之日起15个工作日内按照政府采购质疑和投诉办法的有关规定向招标文件第二章载明的本项目监督管理部门提起投诉。</w:t>
      </w:r>
    </w:p>
    <w:p w14:paraId="186B5843">
      <w:pPr>
        <w:pStyle w:val="4"/>
        <w:ind w:firstLine="480"/>
        <w:jc w:val="both"/>
        <w:rPr>
          <w:highlight w:val="none"/>
        </w:rPr>
      </w:pPr>
      <w:r>
        <w:rPr>
          <w:rFonts w:ascii="仿宋_GB2312" w:hAnsi="仿宋_GB2312" w:eastAsia="仿宋_GB2312" w:cs="仿宋_GB2312"/>
          <w:highlight w:val="none"/>
        </w:rPr>
        <w:t>16.2投诉应有明确的请求和必要的证明材料，投诉的事项不得超出已质疑事项的范围。</w:t>
      </w:r>
    </w:p>
    <w:p w14:paraId="324B036B">
      <w:pPr>
        <w:pStyle w:val="4"/>
        <w:jc w:val="both"/>
        <w:outlineLvl w:val="2"/>
        <w:rPr>
          <w:highlight w:val="none"/>
        </w:rPr>
      </w:pPr>
      <w:r>
        <w:rPr>
          <w:rFonts w:ascii="仿宋_GB2312" w:hAnsi="仿宋_GB2312" w:eastAsia="仿宋_GB2312" w:cs="仿宋_GB2312"/>
          <w:b/>
          <w:sz w:val="28"/>
          <w:highlight w:val="none"/>
        </w:rPr>
        <w:t>八、政府采购政策</w:t>
      </w:r>
    </w:p>
    <w:p w14:paraId="4AED0811">
      <w:pPr>
        <w:pStyle w:val="4"/>
        <w:ind w:firstLine="480"/>
        <w:jc w:val="both"/>
        <w:rPr>
          <w:highlight w:val="none"/>
        </w:rPr>
      </w:pPr>
      <w:r>
        <w:rPr>
          <w:rFonts w:ascii="仿宋_GB2312" w:hAnsi="仿宋_GB2312" w:eastAsia="仿宋_GB2312" w:cs="仿宋_GB2312"/>
          <w:highlight w:val="none"/>
        </w:rPr>
        <w:t>17、政府采购政策由财政部根据国家的经济和社会发展政策并会同国家有关部委制定，包括但不限于下列具体政策要求：</w:t>
      </w:r>
    </w:p>
    <w:p w14:paraId="7F600B83">
      <w:pPr>
        <w:pStyle w:val="4"/>
        <w:ind w:firstLine="480"/>
        <w:jc w:val="both"/>
        <w:rPr>
          <w:highlight w:val="none"/>
        </w:rPr>
      </w:pPr>
      <w:r>
        <w:rPr>
          <w:rFonts w:ascii="仿宋_GB2312" w:hAnsi="仿宋_GB2312" w:eastAsia="仿宋_GB2312" w:cs="仿宋_GB2312"/>
          <w:highlight w:val="none"/>
        </w:rPr>
        <w:t>17.1进口产品指通过中国海关报关验放进入中国境内且产自关境外的产品，其中：</w:t>
      </w:r>
    </w:p>
    <w:p w14:paraId="7F21D021">
      <w:pPr>
        <w:pStyle w:val="4"/>
        <w:ind w:firstLine="480"/>
        <w:jc w:val="both"/>
        <w:rPr>
          <w:highlight w:val="none"/>
        </w:rPr>
      </w:pPr>
      <w:r>
        <w:rPr>
          <w:rFonts w:ascii="仿宋_GB2312" w:hAnsi="仿宋_GB2312" w:eastAsia="仿宋_GB2312" w:cs="仿宋_GB2312"/>
          <w:highlight w:val="none"/>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14:paraId="48AD0B86">
      <w:pPr>
        <w:pStyle w:val="4"/>
        <w:ind w:firstLine="480"/>
        <w:jc w:val="both"/>
        <w:rPr>
          <w:highlight w:val="none"/>
        </w:rPr>
      </w:pPr>
      <w:r>
        <w:rPr>
          <w:rFonts w:ascii="仿宋_GB2312" w:hAnsi="仿宋_GB2312" w:eastAsia="仿宋_GB2312" w:cs="仿宋_GB2312"/>
          <w:highlight w:val="none"/>
        </w:rPr>
        <w:t>（2）凡在海关特殊监管区域内企业生产或加工（包括从境外进口料件）销往境内其他地区的产品，不作为政府采购项下进口产品。</w:t>
      </w:r>
    </w:p>
    <w:p w14:paraId="6F6D243C">
      <w:pPr>
        <w:pStyle w:val="4"/>
        <w:ind w:firstLine="480"/>
        <w:jc w:val="both"/>
        <w:rPr>
          <w:highlight w:val="none"/>
        </w:rPr>
      </w:pPr>
      <w:r>
        <w:rPr>
          <w:rFonts w:ascii="仿宋_GB2312" w:hAnsi="仿宋_GB2312" w:eastAsia="仿宋_GB2312" w:cs="仿宋_GB2312"/>
          <w:highlight w:val="none"/>
        </w:rPr>
        <w:t>（3）对从境外进入海关特殊监管区域，再经办理报关手续后从海关特殊监管区进入境内其他地区的产品，认定为进口产品。</w:t>
      </w:r>
    </w:p>
    <w:p w14:paraId="357CE8C9">
      <w:pPr>
        <w:pStyle w:val="4"/>
        <w:ind w:firstLine="480"/>
        <w:jc w:val="both"/>
        <w:rPr>
          <w:highlight w:val="none"/>
        </w:rPr>
      </w:pPr>
      <w:r>
        <w:rPr>
          <w:rFonts w:ascii="仿宋_GB2312" w:hAnsi="仿宋_GB2312" w:eastAsia="仿宋_GB2312" w:cs="仿宋_GB2312"/>
          <w:highlight w:val="none"/>
        </w:rPr>
        <w:t>（4）招标文件列明不允许或未列明允许进口产品参加投标的，均视为拒绝进口产品参加投标。</w:t>
      </w:r>
    </w:p>
    <w:p w14:paraId="38DA839D">
      <w:pPr>
        <w:pStyle w:val="4"/>
        <w:ind w:firstLine="480"/>
        <w:jc w:val="both"/>
        <w:rPr>
          <w:highlight w:val="none"/>
        </w:rPr>
      </w:pPr>
      <w:r>
        <w:rPr>
          <w:rFonts w:ascii="仿宋_GB2312" w:hAnsi="仿宋_GB2312" w:eastAsia="仿宋_GB2312" w:cs="仿宋_GB2312"/>
          <w:highlight w:val="none"/>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14:paraId="378AC347">
      <w:pPr>
        <w:pStyle w:val="4"/>
        <w:ind w:firstLine="480"/>
        <w:jc w:val="both"/>
        <w:rPr>
          <w:highlight w:val="none"/>
        </w:rPr>
      </w:pPr>
      <w:r>
        <w:rPr>
          <w:rFonts w:ascii="仿宋_GB2312" w:hAnsi="仿宋_GB2312" w:eastAsia="仿宋_GB2312" w:cs="仿宋_GB2312"/>
          <w:highlight w:val="none"/>
        </w:rPr>
        <w:t>17.3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残疾人福利性单位”）亦可享受前述扶持政策。其中：</w:t>
      </w:r>
    </w:p>
    <w:p w14:paraId="506B611A">
      <w:pPr>
        <w:pStyle w:val="4"/>
        <w:ind w:firstLine="480"/>
        <w:jc w:val="both"/>
        <w:rPr>
          <w:highlight w:val="none"/>
        </w:rPr>
      </w:pPr>
      <w:r>
        <w:rPr>
          <w:rFonts w:ascii="仿宋_GB2312" w:hAnsi="仿宋_GB2312" w:eastAsia="仿宋_GB2312" w:cs="仿宋_GB2312"/>
          <w:highlight w:val="none"/>
        </w:rPr>
        <w:t>（1）中小企业指符合下列条件的中型、小型、微型企业：</w:t>
      </w:r>
    </w:p>
    <w:p w14:paraId="4550B632">
      <w:pPr>
        <w:pStyle w:val="4"/>
        <w:ind w:firstLine="480"/>
        <w:jc w:val="both"/>
        <w:rPr>
          <w:highlight w:val="none"/>
        </w:rPr>
      </w:pPr>
      <w:r>
        <w:rPr>
          <w:rFonts w:ascii="仿宋_GB2312" w:hAnsi="仿宋_GB2312" w:eastAsia="仿宋_GB2312" w:cs="仿宋_GB2312"/>
          <w:highlight w:val="none"/>
        </w:rPr>
        <w:t>①符合《工业和信息化部、国家统计局、国家发展和改革委员会、财政部关于印发中小企业划型标准规定的通知》（工信部联企业[2011]300号）规定的划分标准，但与大企业的负责人为同一人，或者与大企业存在直接控股、管理关系的除外；</w:t>
      </w:r>
    </w:p>
    <w:p w14:paraId="73FCF6A7">
      <w:pPr>
        <w:pStyle w:val="4"/>
        <w:ind w:firstLine="480"/>
        <w:jc w:val="both"/>
        <w:rPr>
          <w:highlight w:val="none"/>
        </w:rPr>
      </w:pPr>
      <w:r>
        <w:rPr>
          <w:rFonts w:ascii="仿宋_GB2312" w:hAnsi="仿宋_GB2312" w:eastAsia="仿宋_GB2312" w:cs="仿宋_GB2312"/>
          <w:highlight w:val="none"/>
        </w:rPr>
        <w:t>②符合中小企业划分标准的个体工商户，在政府采购活动中视同中小企业。</w:t>
      </w:r>
    </w:p>
    <w:p w14:paraId="3C8552A3">
      <w:pPr>
        <w:pStyle w:val="4"/>
        <w:ind w:firstLine="480"/>
        <w:jc w:val="both"/>
        <w:rPr>
          <w:highlight w:val="none"/>
        </w:rPr>
      </w:pPr>
      <w:r>
        <w:rPr>
          <w:rFonts w:ascii="仿宋_GB2312" w:hAnsi="仿宋_GB2312" w:eastAsia="仿宋_GB2312" w:cs="仿宋_GB2312"/>
          <w:highlight w:val="none"/>
        </w:rPr>
        <w:t>（2）在政府采购活动中，供应商提供的货物、工程或者服务符合下列情形的，享受本办法规定的中小企业扶持政策：</w:t>
      </w:r>
    </w:p>
    <w:p w14:paraId="4E6A1344">
      <w:pPr>
        <w:pStyle w:val="4"/>
        <w:ind w:firstLine="480"/>
        <w:jc w:val="both"/>
        <w:rPr>
          <w:highlight w:val="none"/>
        </w:rPr>
      </w:pPr>
      <w:r>
        <w:rPr>
          <w:rFonts w:ascii="仿宋_GB2312" w:hAnsi="仿宋_GB2312" w:eastAsia="仿宋_GB2312" w:cs="仿宋_GB2312"/>
          <w:highlight w:val="none"/>
        </w:rPr>
        <w:t>①在货物采购项目中，货物由中小企业制造，即货物由中小企业生产且使用该中小企业商号或者注册商标；</w:t>
      </w:r>
    </w:p>
    <w:p w14:paraId="2378394A">
      <w:pPr>
        <w:pStyle w:val="4"/>
        <w:ind w:firstLine="480"/>
        <w:jc w:val="both"/>
        <w:rPr>
          <w:highlight w:val="none"/>
        </w:rPr>
      </w:pPr>
      <w:r>
        <w:rPr>
          <w:rFonts w:ascii="仿宋_GB2312" w:hAnsi="仿宋_GB2312" w:eastAsia="仿宋_GB2312" w:cs="仿宋_GB2312"/>
          <w:highlight w:val="none"/>
        </w:rPr>
        <w:t>②在工程采购项目中，工程由中小企业承建，即工程施工单位为中小企业；</w:t>
      </w:r>
    </w:p>
    <w:p w14:paraId="58B46ACB">
      <w:pPr>
        <w:pStyle w:val="4"/>
        <w:ind w:firstLine="480"/>
        <w:jc w:val="both"/>
        <w:rPr>
          <w:highlight w:val="none"/>
        </w:rPr>
      </w:pPr>
      <w:r>
        <w:rPr>
          <w:rFonts w:ascii="仿宋_GB2312" w:hAnsi="仿宋_GB2312" w:eastAsia="仿宋_GB2312" w:cs="仿宋_GB2312"/>
          <w:highlight w:val="none"/>
        </w:rPr>
        <w:t>③在服务采购项目中，服务由中小企业承接，即提供服务的人员为中小企业依照《中华人民共和国劳动合同法》订立劳动合同的从业人员。</w:t>
      </w:r>
    </w:p>
    <w:p w14:paraId="1991FF25">
      <w:pPr>
        <w:pStyle w:val="4"/>
        <w:ind w:firstLine="480"/>
        <w:jc w:val="both"/>
        <w:rPr>
          <w:highlight w:val="none"/>
        </w:rPr>
      </w:pPr>
      <w:r>
        <w:rPr>
          <w:rFonts w:ascii="仿宋_GB2312" w:hAnsi="仿宋_GB2312" w:eastAsia="仿宋_GB2312" w:cs="仿宋_GB2312"/>
          <w:highlight w:val="none"/>
        </w:rPr>
        <w:t>在货物采购项目中，供应商提供的货物既有中小企业制造货物，也有大型企业制造货物的，不享受本办法规定的中小企业扶持政策。</w:t>
      </w:r>
    </w:p>
    <w:p w14:paraId="7825BB53">
      <w:pPr>
        <w:pStyle w:val="4"/>
        <w:ind w:firstLine="480"/>
        <w:jc w:val="both"/>
        <w:rPr>
          <w:highlight w:val="none"/>
        </w:rPr>
      </w:pPr>
      <w:r>
        <w:rPr>
          <w:rFonts w:ascii="仿宋_GB2312" w:hAnsi="仿宋_GB2312" w:eastAsia="仿宋_GB2312" w:cs="仿宋_GB2312"/>
          <w:highlight w:val="none"/>
        </w:rPr>
        <w:t>以联合体形式参加政府采购活动，联合体各方均为中小企业的，联合体视同中小企业。其中，联合体各方均为小微企业的，联合体视同小微企业。</w:t>
      </w:r>
    </w:p>
    <w:p w14:paraId="17D2B318">
      <w:pPr>
        <w:pStyle w:val="4"/>
        <w:ind w:firstLine="480"/>
        <w:jc w:val="both"/>
        <w:rPr>
          <w:highlight w:val="none"/>
        </w:rPr>
      </w:pPr>
      <w:r>
        <w:rPr>
          <w:rFonts w:ascii="仿宋_GB2312" w:hAnsi="仿宋_GB2312" w:eastAsia="仿宋_GB2312" w:cs="仿宋_GB2312"/>
          <w:highlight w:val="none"/>
        </w:rPr>
        <w:t>（3）投标人应当按照招标文件明确的采购标的对应行业的划分标准出具中小企业声明函。</w:t>
      </w:r>
    </w:p>
    <w:p w14:paraId="633A18BE">
      <w:pPr>
        <w:pStyle w:val="4"/>
        <w:ind w:firstLine="480"/>
        <w:jc w:val="both"/>
        <w:rPr>
          <w:highlight w:val="none"/>
        </w:rPr>
      </w:pPr>
      <w:r>
        <w:rPr>
          <w:rFonts w:ascii="仿宋_GB2312" w:hAnsi="仿宋_GB2312" w:eastAsia="仿宋_GB2312" w:cs="仿宋_GB2312"/>
          <w:highlight w:val="none"/>
        </w:rPr>
        <w:t>在项目属性为货物类采购项目中，货物应当由中小企业制造，不对其中涉及的服务的承接商作出要求；在项目属性为服务类采购项目中，服务的承接商应当为中小企业，不对其中涉及的货物的制造商作出要求；在项目属性为工程类采购项目中，工程应当由中小企业承建，不对其中涉及的货物的制造商和服务的承接商作出要求。</w:t>
      </w:r>
    </w:p>
    <w:p w14:paraId="4E23F283">
      <w:pPr>
        <w:pStyle w:val="4"/>
        <w:ind w:firstLine="480"/>
        <w:jc w:val="both"/>
        <w:rPr>
          <w:highlight w:val="none"/>
        </w:rPr>
      </w:pPr>
      <w:r>
        <w:rPr>
          <w:rFonts w:ascii="仿宋_GB2312" w:hAnsi="仿宋_GB2312" w:eastAsia="仿宋_GB2312" w:cs="仿宋_GB2312"/>
          <w:highlight w:val="none"/>
        </w:rPr>
        <w:t>（4）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14:paraId="1E0B6A47">
      <w:pPr>
        <w:pStyle w:val="4"/>
        <w:ind w:firstLine="480"/>
        <w:jc w:val="both"/>
        <w:rPr>
          <w:highlight w:val="none"/>
        </w:rPr>
      </w:pPr>
      <w:r>
        <w:rPr>
          <w:rFonts w:ascii="仿宋_GB2312" w:hAnsi="仿宋_GB2312" w:eastAsia="仿宋_GB2312" w:cs="仿宋_GB2312"/>
          <w:highlight w:val="none"/>
        </w:rPr>
        <w:t>①监狱企业参加采购活动时，应提供由省级以上监狱管理局、戒毒管理局（含新疆生产建设兵团）出具的属于监狱企业的证明文件。</w:t>
      </w:r>
    </w:p>
    <w:p w14:paraId="4BC35E70">
      <w:pPr>
        <w:pStyle w:val="4"/>
        <w:ind w:firstLine="480"/>
        <w:jc w:val="both"/>
        <w:rPr>
          <w:highlight w:val="none"/>
        </w:rPr>
      </w:pPr>
      <w:r>
        <w:rPr>
          <w:rFonts w:ascii="仿宋_GB2312" w:hAnsi="仿宋_GB2312" w:eastAsia="仿宋_GB2312" w:cs="仿宋_GB2312"/>
          <w:highlight w:val="none"/>
        </w:rPr>
        <w:t>②监狱企业视同小型、微型企业。</w:t>
      </w:r>
    </w:p>
    <w:p w14:paraId="00EBD200">
      <w:pPr>
        <w:pStyle w:val="4"/>
        <w:ind w:firstLine="480"/>
        <w:jc w:val="both"/>
        <w:rPr>
          <w:highlight w:val="none"/>
        </w:rPr>
      </w:pPr>
      <w:r>
        <w:rPr>
          <w:rFonts w:ascii="仿宋_GB2312" w:hAnsi="仿宋_GB2312" w:eastAsia="仿宋_GB2312" w:cs="仿宋_GB2312"/>
          <w:highlight w:val="none"/>
        </w:rPr>
        <w:t>（5）残疾人福利性单位指同时符合下列条件的单位：</w:t>
      </w:r>
    </w:p>
    <w:p w14:paraId="67BC7193">
      <w:pPr>
        <w:pStyle w:val="4"/>
        <w:ind w:firstLine="480"/>
        <w:jc w:val="both"/>
        <w:rPr>
          <w:highlight w:val="none"/>
        </w:rPr>
      </w:pPr>
      <w:r>
        <w:rPr>
          <w:rFonts w:ascii="仿宋_GB2312" w:hAnsi="仿宋_GB2312" w:eastAsia="仿宋_GB2312" w:cs="仿宋_GB2312"/>
          <w:highlight w:val="none"/>
        </w:rPr>
        <w:t>①安置的残疾人占本单位在职职工人数的比例不低于25%（含25%），并且安置的残疾人人数不少于10人（含10人）；</w:t>
      </w:r>
    </w:p>
    <w:p w14:paraId="376A34BD">
      <w:pPr>
        <w:pStyle w:val="4"/>
        <w:ind w:firstLine="480"/>
        <w:jc w:val="both"/>
        <w:rPr>
          <w:highlight w:val="none"/>
        </w:rPr>
      </w:pPr>
      <w:r>
        <w:rPr>
          <w:rFonts w:ascii="仿宋_GB2312" w:hAnsi="仿宋_GB2312" w:eastAsia="仿宋_GB2312" w:cs="仿宋_GB2312"/>
          <w:highlight w:val="none"/>
        </w:rPr>
        <w:t>②依法与安置的每位残疾人签订了一年以上（含一年）的劳动合同或服务协议；</w:t>
      </w:r>
    </w:p>
    <w:p w14:paraId="0835AD42">
      <w:pPr>
        <w:pStyle w:val="4"/>
        <w:ind w:firstLine="480"/>
        <w:jc w:val="both"/>
        <w:rPr>
          <w:highlight w:val="none"/>
        </w:rPr>
      </w:pPr>
      <w:r>
        <w:rPr>
          <w:rFonts w:ascii="仿宋_GB2312" w:hAnsi="仿宋_GB2312" w:eastAsia="仿宋_GB2312" w:cs="仿宋_GB2312"/>
          <w:highlight w:val="none"/>
        </w:rPr>
        <w:t>③为安置的每位残疾人按月足额缴纳了基本养老保险、基本医疗保险、失业保险、工伤保险和生育保险等社会保险费；</w:t>
      </w:r>
    </w:p>
    <w:p w14:paraId="7D8A5B89">
      <w:pPr>
        <w:pStyle w:val="4"/>
        <w:ind w:firstLine="480"/>
        <w:jc w:val="both"/>
        <w:rPr>
          <w:highlight w:val="none"/>
        </w:rPr>
      </w:pPr>
      <w:r>
        <w:rPr>
          <w:rFonts w:ascii="仿宋_GB2312" w:hAnsi="仿宋_GB2312" w:eastAsia="仿宋_GB2312" w:cs="仿宋_GB2312"/>
          <w:highlight w:val="none"/>
        </w:rPr>
        <w:t>④通过银行等金融机构向安置的每位残疾人，按月支付了不低于单位所在区县适用的经省级人民政府批准的月最低工资标准的工资；</w:t>
      </w:r>
    </w:p>
    <w:p w14:paraId="55A53019">
      <w:pPr>
        <w:pStyle w:val="4"/>
        <w:ind w:firstLine="480"/>
        <w:jc w:val="both"/>
        <w:rPr>
          <w:highlight w:val="none"/>
        </w:rPr>
      </w:pPr>
      <w:r>
        <w:rPr>
          <w:rFonts w:ascii="仿宋_GB2312" w:hAnsi="仿宋_GB2312" w:eastAsia="仿宋_GB2312" w:cs="仿宋_GB2312"/>
          <w:highlight w:val="none"/>
        </w:rPr>
        <w:t>⑤提供本单位制造的货物、承担的工程或服务，或提供其他残疾人福利性单位制造的货物（不包括使用非残疾人福利性单位注册商标的货物）。</w:t>
      </w:r>
    </w:p>
    <w:p w14:paraId="599AC697">
      <w:pPr>
        <w:pStyle w:val="4"/>
        <w:ind w:firstLine="480"/>
        <w:jc w:val="both"/>
        <w:rPr>
          <w:highlight w:val="none"/>
        </w:rPr>
      </w:pPr>
      <w:r>
        <w:rPr>
          <w:rFonts w:ascii="仿宋_GB2312" w:hAnsi="仿宋_GB2312" w:eastAsia="仿宋_GB2312" w:cs="仿宋_GB2312"/>
          <w:highlight w:val="none"/>
        </w:rPr>
        <w:t>前款所称残疾人指法定劳动年龄内，持有《中华人民共和国残疾人证》或《中华人民共和国残疾军人证（1至8级）》的自然人，包括具有劳动条件和劳动意愿的精神残疾人。在职职工人数是指与残疾人福利性单位建立劳动关系并依法签订劳动合同或服务协议的雇员人数。</w:t>
      </w:r>
    </w:p>
    <w:p w14:paraId="41FC1840">
      <w:pPr>
        <w:pStyle w:val="4"/>
        <w:ind w:firstLine="480"/>
        <w:jc w:val="both"/>
        <w:rPr>
          <w:highlight w:val="none"/>
        </w:rPr>
      </w:pPr>
      <w:r>
        <w:rPr>
          <w:rFonts w:ascii="仿宋_GB2312" w:hAnsi="仿宋_GB2312" w:eastAsia="仿宋_GB2312" w:cs="仿宋_GB2312"/>
          <w:highlight w:val="none"/>
        </w:rPr>
        <w:t>※符合上述条件的残疾人福利性单位参加采购活动时，应提供《残疾人福利性单位声明函》，并对声明的真实性负责。残疾人福利性单位视同小型、微型企业。残疾人福利性单位属于小型、微型企业的，不重复享受政策。</w:t>
      </w:r>
    </w:p>
    <w:p w14:paraId="1CEF237F">
      <w:pPr>
        <w:pStyle w:val="4"/>
        <w:ind w:firstLine="480"/>
        <w:jc w:val="both"/>
        <w:rPr>
          <w:highlight w:val="none"/>
        </w:rPr>
      </w:pPr>
      <w:r>
        <w:rPr>
          <w:rFonts w:ascii="仿宋_GB2312" w:hAnsi="仿宋_GB2312" w:eastAsia="仿宋_GB2312" w:cs="仿宋_GB2312"/>
          <w:highlight w:val="none"/>
        </w:rPr>
        <w:t>17.4信用记录指由财政部确定的有关网站提供的相关主体信用信息。信用记录的查询及使用应符合财政部文件（财库[2016]125号）规定。</w:t>
      </w:r>
    </w:p>
    <w:p w14:paraId="6B0A0B2B">
      <w:pPr>
        <w:pStyle w:val="4"/>
        <w:ind w:firstLine="480"/>
        <w:jc w:val="both"/>
        <w:rPr>
          <w:highlight w:val="none"/>
        </w:rPr>
      </w:pPr>
      <w:r>
        <w:rPr>
          <w:rFonts w:ascii="仿宋_GB2312" w:hAnsi="仿宋_GB2312" w:eastAsia="仿宋_GB2312" w:cs="仿宋_GB2312"/>
          <w:highlight w:val="none"/>
        </w:rPr>
        <w:t>17.5为落实政府采购政策需满足的要求：详见招标文件第一章。</w:t>
      </w:r>
    </w:p>
    <w:p w14:paraId="60C2CD4A">
      <w:pPr>
        <w:pStyle w:val="4"/>
        <w:jc w:val="both"/>
        <w:outlineLvl w:val="2"/>
        <w:rPr>
          <w:highlight w:val="none"/>
        </w:rPr>
      </w:pPr>
      <w:r>
        <w:rPr>
          <w:rFonts w:ascii="仿宋_GB2312" w:hAnsi="仿宋_GB2312" w:eastAsia="仿宋_GB2312" w:cs="仿宋_GB2312"/>
          <w:b/>
          <w:sz w:val="28"/>
          <w:highlight w:val="none"/>
        </w:rPr>
        <w:t>九、本项目的有关信息</w:t>
      </w:r>
    </w:p>
    <w:p w14:paraId="14F0D2DD">
      <w:pPr>
        <w:pStyle w:val="4"/>
        <w:ind w:firstLine="480"/>
        <w:jc w:val="both"/>
        <w:rPr>
          <w:highlight w:val="none"/>
        </w:rPr>
      </w:pPr>
      <w:r>
        <w:rPr>
          <w:rFonts w:ascii="仿宋_GB2312" w:hAnsi="仿宋_GB2312" w:eastAsia="仿宋_GB2312" w:cs="仿宋_GB2312"/>
          <w:highlight w:val="none"/>
        </w:rPr>
        <w:t>18、本项目的有关信息，包括但不限于：招标公告、更正公告（若有）、招标文件、招标文件的澄清或修改（若有）、中标公告、终止公告（若有）、废标公告（若有）等都将在招标文件载明的指定媒体发布。</w:t>
      </w:r>
    </w:p>
    <w:p w14:paraId="3D47416D">
      <w:pPr>
        <w:pStyle w:val="4"/>
        <w:ind w:firstLine="480"/>
        <w:jc w:val="both"/>
        <w:rPr>
          <w:highlight w:val="none"/>
        </w:rPr>
      </w:pPr>
      <w:r>
        <w:rPr>
          <w:rFonts w:ascii="仿宋_GB2312" w:hAnsi="仿宋_GB2312" w:eastAsia="仿宋_GB2312" w:cs="仿宋_GB2312"/>
          <w:highlight w:val="none"/>
        </w:rPr>
        <w:t>18.1指定媒体：详见招标文件第二章。</w:t>
      </w:r>
    </w:p>
    <w:p w14:paraId="28B4FBFA">
      <w:pPr>
        <w:pStyle w:val="4"/>
        <w:ind w:firstLine="480"/>
        <w:jc w:val="both"/>
        <w:rPr>
          <w:highlight w:val="none"/>
        </w:rPr>
      </w:pPr>
      <w:r>
        <w:rPr>
          <w:rFonts w:ascii="仿宋_GB2312" w:hAnsi="仿宋_GB2312" w:eastAsia="仿宋_GB2312" w:cs="仿宋_GB2312"/>
          <w:highlight w:val="none"/>
        </w:rPr>
        <w:t>18.2本项目的潜在投标人或投标人应随时关注指定媒体，否则产生不利后果由其自行承担。</w:t>
      </w:r>
    </w:p>
    <w:p w14:paraId="69844928">
      <w:pPr>
        <w:pStyle w:val="4"/>
        <w:jc w:val="both"/>
        <w:outlineLvl w:val="2"/>
        <w:rPr>
          <w:highlight w:val="none"/>
        </w:rPr>
      </w:pPr>
      <w:r>
        <w:rPr>
          <w:rFonts w:ascii="仿宋_GB2312" w:hAnsi="仿宋_GB2312" w:eastAsia="仿宋_GB2312" w:cs="仿宋_GB2312"/>
          <w:b/>
          <w:sz w:val="28"/>
          <w:highlight w:val="none"/>
        </w:rPr>
        <w:t>十、其他事项</w:t>
      </w:r>
    </w:p>
    <w:p w14:paraId="64EA3762">
      <w:pPr>
        <w:pStyle w:val="4"/>
        <w:ind w:firstLine="480"/>
        <w:jc w:val="both"/>
        <w:rPr>
          <w:highlight w:val="none"/>
        </w:rPr>
      </w:pPr>
      <w:r>
        <w:rPr>
          <w:rFonts w:ascii="仿宋_GB2312" w:hAnsi="仿宋_GB2312" w:eastAsia="仿宋_GB2312" w:cs="仿宋_GB2312"/>
          <w:highlight w:val="none"/>
        </w:rPr>
        <w:t>19、其他事项：</w:t>
      </w:r>
    </w:p>
    <w:p w14:paraId="7F4C6501">
      <w:pPr>
        <w:pStyle w:val="4"/>
        <w:ind w:firstLine="480"/>
        <w:jc w:val="both"/>
        <w:rPr>
          <w:highlight w:val="none"/>
        </w:rPr>
      </w:pPr>
      <w:r>
        <w:rPr>
          <w:rFonts w:ascii="仿宋_GB2312" w:hAnsi="仿宋_GB2312" w:eastAsia="仿宋_GB2312" w:cs="仿宋_GB2312"/>
          <w:highlight w:val="none"/>
        </w:rPr>
        <w:t>19.1本项目中如涉及商品包装和快递包装的，其包装需求标准应不低于《关于印发〈商品包装政府采购需求标准(试行)〉、〈快递包装政府采购需求标准(试行)〉的通知》（财办库〔2020〕 123号）规定的包装要求，其他包装需求详见招标文件具体规定。采购人、中标人双方签订合同及验收环节，应包含上述包装要求的条款。</w:t>
      </w:r>
    </w:p>
    <w:p w14:paraId="7D118E68">
      <w:pPr>
        <w:pStyle w:val="4"/>
        <w:ind w:firstLine="480"/>
        <w:jc w:val="both"/>
        <w:rPr>
          <w:highlight w:val="none"/>
        </w:rPr>
      </w:pPr>
      <w:r>
        <w:rPr>
          <w:rFonts w:ascii="仿宋_GB2312" w:hAnsi="仿宋_GB2312" w:eastAsia="仿宋_GB2312" w:cs="仿宋_GB2312"/>
          <w:highlight w:val="none"/>
        </w:rPr>
        <w:t>19.2其他：详见招标文件第二章。</w:t>
      </w:r>
    </w:p>
    <w:p w14:paraId="59BA6DFC">
      <w:pPr>
        <w:pStyle w:val="4"/>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697DBEDA">
      <w:pPr>
        <w:pStyle w:val="4"/>
        <w:jc w:val="center"/>
        <w:outlineLvl w:val="1"/>
        <w:rPr>
          <w:highlight w:val="none"/>
        </w:rPr>
      </w:pPr>
      <w:r>
        <w:rPr>
          <w:rFonts w:ascii="仿宋_GB2312" w:hAnsi="仿宋_GB2312" w:eastAsia="仿宋_GB2312" w:cs="仿宋_GB2312"/>
          <w:b/>
          <w:sz w:val="36"/>
          <w:highlight w:val="none"/>
        </w:rPr>
        <w:t>第四章 资格审查与评标</w:t>
      </w:r>
    </w:p>
    <w:p w14:paraId="5F614501">
      <w:pPr>
        <w:pStyle w:val="4"/>
        <w:jc w:val="both"/>
        <w:outlineLvl w:val="2"/>
        <w:rPr>
          <w:highlight w:val="none"/>
        </w:rPr>
      </w:pPr>
      <w:r>
        <w:rPr>
          <w:rFonts w:ascii="仿宋_GB2312" w:hAnsi="仿宋_GB2312" w:eastAsia="仿宋_GB2312" w:cs="仿宋_GB2312"/>
          <w:b/>
          <w:sz w:val="28"/>
          <w:highlight w:val="none"/>
        </w:rPr>
        <w:t>一、资格审查</w:t>
      </w:r>
    </w:p>
    <w:p w14:paraId="270396B6">
      <w:pPr>
        <w:pStyle w:val="4"/>
        <w:ind w:firstLine="480"/>
        <w:jc w:val="both"/>
        <w:rPr>
          <w:highlight w:val="none"/>
        </w:rPr>
      </w:pPr>
      <w:r>
        <w:rPr>
          <w:rFonts w:ascii="仿宋_GB2312" w:hAnsi="仿宋_GB2312" w:eastAsia="仿宋_GB2312" w:cs="仿宋_GB2312"/>
          <w:highlight w:val="none"/>
        </w:rPr>
        <w:t>1、开标结束后，由 福建省公共资源交易中心 负责资格审查小组的组建及资格审查工作的组织。</w:t>
      </w:r>
    </w:p>
    <w:p w14:paraId="777539CF">
      <w:pPr>
        <w:pStyle w:val="4"/>
        <w:ind w:firstLine="480"/>
        <w:jc w:val="both"/>
        <w:rPr>
          <w:highlight w:val="none"/>
        </w:rPr>
      </w:pPr>
      <w:r>
        <w:rPr>
          <w:rFonts w:ascii="仿宋_GB2312" w:hAnsi="仿宋_GB2312" w:eastAsia="仿宋_GB2312" w:cs="仿宋_GB2312"/>
          <w:highlight w:val="none"/>
        </w:rPr>
        <w:t>1.1资格审查小组</w:t>
      </w:r>
    </w:p>
    <w:p w14:paraId="3ADCEAE1">
      <w:pPr>
        <w:pStyle w:val="4"/>
        <w:ind w:firstLine="480"/>
        <w:jc w:val="both"/>
        <w:rPr>
          <w:highlight w:val="none"/>
        </w:rPr>
      </w:pPr>
      <w:r>
        <w:rPr>
          <w:rFonts w:ascii="仿宋_GB2312" w:hAnsi="仿宋_GB2312" w:eastAsia="仿宋_GB2312" w:cs="仿宋_GB2312"/>
          <w:highlight w:val="none"/>
        </w:rPr>
        <w:t>资格审查小组由3人组成，并负责具体审查事务，其中由采购人派出的采购人代表至少1人，由福建省公共资源交易中心派出的工作人员至少1人，其余1人可为采购人代表或福建省公共资源交易中心的工作人员。</w:t>
      </w:r>
    </w:p>
    <w:p w14:paraId="5387EC03">
      <w:pPr>
        <w:pStyle w:val="4"/>
        <w:ind w:firstLine="480"/>
        <w:jc w:val="both"/>
        <w:rPr>
          <w:highlight w:val="none"/>
        </w:rPr>
      </w:pPr>
      <w:r>
        <w:rPr>
          <w:rFonts w:ascii="仿宋_GB2312" w:hAnsi="仿宋_GB2312" w:eastAsia="仿宋_GB2312" w:cs="仿宋_GB2312"/>
          <w:highlight w:val="none"/>
        </w:rPr>
        <w:t>1.2资格审查的依据是招标文件和电子投标文件。</w:t>
      </w:r>
    </w:p>
    <w:p w14:paraId="008000ED">
      <w:pPr>
        <w:pStyle w:val="4"/>
        <w:ind w:firstLine="480"/>
        <w:jc w:val="both"/>
        <w:rPr>
          <w:highlight w:val="none"/>
        </w:rPr>
      </w:pPr>
      <w:r>
        <w:rPr>
          <w:rFonts w:ascii="仿宋_GB2312" w:hAnsi="仿宋_GB2312" w:eastAsia="仿宋_GB2312" w:cs="仿宋_GB2312"/>
          <w:highlight w:val="none"/>
        </w:rPr>
        <w:t>1.3资格审查的范围及内容：电子投标文件（资格及资信证明部分），具体如下：</w:t>
      </w:r>
    </w:p>
    <w:p w14:paraId="629A92A6">
      <w:pPr>
        <w:pStyle w:val="4"/>
        <w:ind w:firstLine="480"/>
        <w:jc w:val="both"/>
        <w:rPr>
          <w:highlight w:val="none"/>
        </w:rPr>
      </w:pPr>
      <w:r>
        <w:rPr>
          <w:rFonts w:ascii="仿宋_GB2312" w:hAnsi="仿宋_GB2312" w:eastAsia="仿宋_GB2312" w:cs="仿宋_GB2312"/>
          <w:highlight w:val="none"/>
        </w:rPr>
        <w:t>（1）“投标函”；</w:t>
      </w:r>
    </w:p>
    <w:p w14:paraId="464B9425">
      <w:pPr>
        <w:pStyle w:val="4"/>
        <w:ind w:firstLine="480"/>
        <w:jc w:val="both"/>
        <w:rPr>
          <w:highlight w:val="none"/>
        </w:rPr>
      </w:pPr>
      <w:r>
        <w:rPr>
          <w:rFonts w:ascii="仿宋_GB2312" w:hAnsi="仿宋_GB2312" w:eastAsia="仿宋_GB2312" w:cs="仿宋_GB2312"/>
          <w:highlight w:val="none"/>
        </w:rPr>
        <w:t>（2）“投标人的资格及资信证明文件”</w:t>
      </w:r>
    </w:p>
    <w:p w14:paraId="7E7F9CDB">
      <w:pPr>
        <w:pStyle w:val="4"/>
        <w:ind w:firstLine="480"/>
        <w:jc w:val="both"/>
        <w:rPr>
          <w:highlight w:val="none"/>
        </w:rPr>
      </w:pPr>
      <w:r>
        <w:rPr>
          <w:rFonts w:ascii="仿宋_GB2312" w:hAnsi="仿宋_GB2312" w:eastAsia="仿宋_GB2312" w:cs="仿宋_GB2312"/>
          <w:highlight w:val="none"/>
        </w:rPr>
        <w:t>①一般资格证明文件：</w:t>
      </w:r>
    </w:p>
    <w:p w14:paraId="3D03C24E">
      <w:pPr>
        <w:pStyle w:val="4"/>
        <w:ind w:firstLine="480"/>
        <w:jc w:val="both"/>
        <w:rPr>
          <w:highlight w:val="none"/>
        </w:rPr>
      </w:pPr>
      <w:r>
        <w:rPr>
          <w:rFonts w:ascii="仿宋_GB2312" w:hAnsi="仿宋_GB2312" w:eastAsia="仿宋_GB2312" w:cs="仿宋_GB2312"/>
          <w:highlight w:val="none"/>
        </w:rPr>
        <w:t>采购包1：</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1"/>
        <w:gridCol w:w="3322"/>
        <w:gridCol w:w="4153"/>
      </w:tblGrid>
      <w:tr w14:paraId="7BC5F5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369DC270">
            <w:pPr>
              <w:pStyle w:val="4"/>
              <w:jc w:val="both"/>
              <w:rPr>
                <w:highlight w:val="none"/>
              </w:rPr>
            </w:pPr>
            <w:r>
              <w:rPr>
                <w:rFonts w:ascii="仿宋_GB2312" w:hAnsi="仿宋_GB2312" w:eastAsia="仿宋_GB2312" w:cs="仿宋_GB2312"/>
                <w:highlight w:val="none"/>
              </w:rPr>
              <w:t xml:space="preserve"> 序号</w:t>
            </w:r>
          </w:p>
        </w:tc>
        <w:tc>
          <w:tcPr>
            <w:tcW w:w="3322" w:type="dxa"/>
          </w:tcPr>
          <w:p w14:paraId="715C8421">
            <w:pPr>
              <w:pStyle w:val="4"/>
              <w:jc w:val="both"/>
              <w:rPr>
                <w:highlight w:val="none"/>
              </w:rPr>
            </w:pPr>
            <w:r>
              <w:rPr>
                <w:rFonts w:ascii="仿宋_GB2312" w:hAnsi="仿宋_GB2312" w:eastAsia="仿宋_GB2312" w:cs="仿宋_GB2312"/>
                <w:highlight w:val="none"/>
              </w:rPr>
              <w:t xml:space="preserve"> 资格审查要求概况</w:t>
            </w:r>
          </w:p>
        </w:tc>
        <w:tc>
          <w:tcPr>
            <w:tcW w:w="4153" w:type="dxa"/>
          </w:tcPr>
          <w:p w14:paraId="01AE3416">
            <w:pPr>
              <w:pStyle w:val="4"/>
              <w:jc w:val="both"/>
              <w:rPr>
                <w:highlight w:val="none"/>
              </w:rPr>
            </w:pPr>
            <w:r>
              <w:rPr>
                <w:rFonts w:ascii="仿宋_GB2312" w:hAnsi="仿宋_GB2312" w:eastAsia="仿宋_GB2312" w:cs="仿宋_GB2312"/>
                <w:highlight w:val="none"/>
              </w:rPr>
              <w:t xml:space="preserve"> 评审点具体描述</w:t>
            </w:r>
          </w:p>
        </w:tc>
      </w:tr>
      <w:tr w14:paraId="3A4DD3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5701550B">
            <w:pPr>
              <w:pStyle w:val="4"/>
              <w:jc w:val="both"/>
              <w:rPr>
                <w:highlight w:val="none"/>
              </w:rPr>
            </w:pPr>
            <w:r>
              <w:rPr>
                <w:rFonts w:ascii="仿宋_GB2312" w:hAnsi="仿宋_GB2312" w:eastAsia="仿宋_GB2312" w:cs="仿宋_GB2312"/>
                <w:highlight w:val="none"/>
              </w:rPr>
              <w:t>1</w:t>
            </w:r>
          </w:p>
        </w:tc>
        <w:tc>
          <w:tcPr>
            <w:tcW w:w="3322" w:type="dxa"/>
          </w:tcPr>
          <w:p w14:paraId="41413852">
            <w:pPr>
              <w:pStyle w:val="4"/>
              <w:jc w:val="both"/>
              <w:rPr>
                <w:highlight w:val="none"/>
              </w:rPr>
            </w:pPr>
            <w:r>
              <w:rPr>
                <w:rFonts w:ascii="仿宋_GB2312" w:hAnsi="仿宋_GB2312" w:eastAsia="仿宋_GB2312" w:cs="仿宋_GB2312"/>
                <w:highlight w:val="none"/>
              </w:rPr>
              <w:t>单位授权书</w:t>
            </w:r>
          </w:p>
        </w:tc>
        <w:tc>
          <w:tcPr>
            <w:tcW w:w="4153" w:type="dxa"/>
          </w:tcPr>
          <w:p w14:paraId="69A0697F">
            <w:pPr>
              <w:pStyle w:val="4"/>
              <w:jc w:val="both"/>
              <w:rPr>
                <w:highlight w:val="none"/>
              </w:rPr>
            </w:pPr>
            <w:r>
              <w:rPr>
                <w:rFonts w:ascii="仿宋_GB2312" w:hAnsi="仿宋_GB2312" w:eastAsia="仿宋_GB2312" w:cs="仿宋_GB2312"/>
                <w:highlight w:val="none"/>
              </w:rPr>
              <w:t>①投标人（自然人除外）：若投标人代表为单位授权的委托代理人，应提供本授权书；若投标人代表为单位负责人，应在此项下提交其身份证正反面复印件，可不提供本授权书。 ②投标人为自然人的，可不填写本授权书。</w:t>
            </w:r>
          </w:p>
        </w:tc>
      </w:tr>
      <w:tr w14:paraId="189593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012E6330">
            <w:pPr>
              <w:pStyle w:val="4"/>
              <w:jc w:val="both"/>
              <w:rPr>
                <w:highlight w:val="none"/>
              </w:rPr>
            </w:pPr>
            <w:r>
              <w:rPr>
                <w:rFonts w:ascii="仿宋_GB2312" w:hAnsi="仿宋_GB2312" w:eastAsia="仿宋_GB2312" w:cs="仿宋_GB2312"/>
                <w:highlight w:val="none"/>
              </w:rPr>
              <w:t>2</w:t>
            </w:r>
          </w:p>
        </w:tc>
        <w:tc>
          <w:tcPr>
            <w:tcW w:w="3322" w:type="dxa"/>
          </w:tcPr>
          <w:p w14:paraId="08163B21">
            <w:pPr>
              <w:pStyle w:val="4"/>
              <w:jc w:val="both"/>
              <w:rPr>
                <w:highlight w:val="none"/>
              </w:rPr>
            </w:pPr>
            <w:r>
              <w:rPr>
                <w:rFonts w:ascii="仿宋_GB2312" w:hAnsi="仿宋_GB2312" w:eastAsia="仿宋_GB2312" w:cs="仿宋_GB2312"/>
                <w:highlight w:val="none"/>
              </w:rPr>
              <w:t>营业执照等证明文件</w:t>
            </w:r>
          </w:p>
        </w:tc>
        <w:tc>
          <w:tcPr>
            <w:tcW w:w="4153" w:type="dxa"/>
          </w:tcPr>
          <w:p w14:paraId="0BE5D2F5">
            <w:pPr>
              <w:pStyle w:val="4"/>
              <w:jc w:val="both"/>
              <w:rPr>
                <w:highlight w:val="none"/>
              </w:rPr>
            </w:pPr>
            <w:r>
              <w:rPr>
                <w:rFonts w:ascii="仿宋_GB2312" w:hAnsi="仿宋_GB2312" w:eastAsia="仿宋_GB2312" w:cs="仿宋_GB2312"/>
                <w:highlight w:val="none"/>
              </w:rPr>
              <w:t>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14:paraId="35E23D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4A70E5E1">
            <w:pPr>
              <w:pStyle w:val="4"/>
              <w:jc w:val="both"/>
              <w:rPr>
                <w:highlight w:val="none"/>
              </w:rPr>
            </w:pPr>
            <w:r>
              <w:rPr>
                <w:rFonts w:ascii="仿宋_GB2312" w:hAnsi="仿宋_GB2312" w:eastAsia="仿宋_GB2312" w:cs="仿宋_GB2312"/>
                <w:highlight w:val="none"/>
              </w:rPr>
              <w:t>3</w:t>
            </w:r>
          </w:p>
        </w:tc>
        <w:tc>
          <w:tcPr>
            <w:tcW w:w="3322" w:type="dxa"/>
          </w:tcPr>
          <w:p w14:paraId="043974E3">
            <w:pPr>
              <w:pStyle w:val="4"/>
              <w:jc w:val="both"/>
              <w:rPr>
                <w:highlight w:val="none"/>
              </w:rPr>
            </w:pPr>
            <w:r>
              <w:rPr>
                <w:rFonts w:ascii="仿宋_GB2312" w:hAnsi="仿宋_GB2312" w:eastAsia="仿宋_GB2312" w:cs="仿宋_GB2312"/>
                <w:highlight w:val="none"/>
              </w:rPr>
              <w:t>提供财务状况报告(财务报告、或资信证明）</w:t>
            </w:r>
          </w:p>
        </w:tc>
        <w:tc>
          <w:tcPr>
            <w:tcW w:w="4153" w:type="dxa"/>
          </w:tcPr>
          <w:p w14:paraId="51C5D65E">
            <w:pPr>
              <w:pStyle w:val="4"/>
              <w:jc w:val="both"/>
              <w:rPr>
                <w:highlight w:val="none"/>
              </w:rPr>
            </w:pPr>
            <w:r>
              <w:rPr>
                <w:rFonts w:ascii="仿宋_GB2312" w:hAnsi="仿宋_GB2312" w:eastAsia="仿宋_GB2312" w:cs="仿宋_GB2312"/>
                <w:highlight w:val="none"/>
              </w:rPr>
              <w:t>①投标人提供的财务报告复印件（成立年限按照投标截止时间推算）应符合下列规定： a.成立年限满1年及以上的投标人，提供经审计的上一年度的年度财务报告。 b.成立年限满半年但不足1年的投标人，提供该半年度中任一季度的季度财务报告或该半年度的半年度财务报告。 c.无法按照以上a、b项规定提供财务报告复印件的投标人（包括但不限于：成立年限满1年及以上的投标人、成立年限满半年但不足1年的投标人、成立年限不足半年的投标人），应选择提供资信证明复印件。</w:t>
            </w:r>
          </w:p>
        </w:tc>
      </w:tr>
      <w:tr w14:paraId="11A12E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5FDC8CAE">
            <w:pPr>
              <w:pStyle w:val="4"/>
              <w:jc w:val="both"/>
              <w:rPr>
                <w:highlight w:val="none"/>
              </w:rPr>
            </w:pPr>
            <w:r>
              <w:rPr>
                <w:rFonts w:ascii="仿宋_GB2312" w:hAnsi="仿宋_GB2312" w:eastAsia="仿宋_GB2312" w:cs="仿宋_GB2312"/>
                <w:highlight w:val="none"/>
              </w:rPr>
              <w:t>4</w:t>
            </w:r>
          </w:p>
        </w:tc>
        <w:tc>
          <w:tcPr>
            <w:tcW w:w="3322" w:type="dxa"/>
          </w:tcPr>
          <w:p w14:paraId="68735C11">
            <w:pPr>
              <w:pStyle w:val="4"/>
              <w:jc w:val="both"/>
              <w:rPr>
                <w:highlight w:val="none"/>
              </w:rPr>
            </w:pPr>
            <w:r>
              <w:rPr>
                <w:rFonts w:ascii="仿宋_GB2312" w:hAnsi="仿宋_GB2312" w:eastAsia="仿宋_GB2312" w:cs="仿宋_GB2312"/>
                <w:highlight w:val="none"/>
              </w:rPr>
              <w:t>依法缴纳税收证明材料</w:t>
            </w:r>
          </w:p>
        </w:tc>
        <w:tc>
          <w:tcPr>
            <w:tcW w:w="4153" w:type="dxa"/>
          </w:tcPr>
          <w:p w14:paraId="119386AE">
            <w:pPr>
              <w:pStyle w:val="4"/>
              <w:jc w:val="both"/>
              <w:rPr>
                <w:highlight w:val="none"/>
              </w:rPr>
            </w:pPr>
            <w:r>
              <w:rPr>
                <w:rFonts w:ascii="仿宋_GB2312" w:hAnsi="仿宋_GB2312" w:eastAsia="仿宋_GB2312" w:cs="仿宋_GB2312"/>
                <w:highlight w:val="none"/>
              </w:rPr>
              <w:t>①投标人提供的税收缴纳凭据复印件应符合下列规定： a.投标截止时间前（不含投标截止时间的当月）已依法缴纳税收的投标人，提供投标截止时间前六个月（不含投标截止时间的当月）中任一月份的税收缴纳凭据复印件。 b.投标截止时间的当月成立的投标人，视同满足本项资格条件要求。 c.若为依法免税范围的投标人，提供依法免税证明材料的，视同满足本项资格条件要求。</w:t>
            </w:r>
          </w:p>
        </w:tc>
      </w:tr>
      <w:tr w14:paraId="69EDCE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14F5E780">
            <w:pPr>
              <w:pStyle w:val="4"/>
              <w:jc w:val="both"/>
              <w:rPr>
                <w:highlight w:val="none"/>
              </w:rPr>
            </w:pPr>
            <w:r>
              <w:rPr>
                <w:rFonts w:ascii="仿宋_GB2312" w:hAnsi="仿宋_GB2312" w:eastAsia="仿宋_GB2312" w:cs="仿宋_GB2312"/>
                <w:highlight w:val="none"/>
              </w:rPr>
              <w:t>5</w:t>
            </w:r>
          </w:p>
        </w:tc>
        <w:tc>
          <w:tcPr>
            <w:tcW w:w="3322" w:type="dxa"/>
          </w:tcPr>
          <w:p w14:paraId="176B37EF">
            <w:pPr>
              <w:pStyle w:val="4"/>
              <w:jc w:val="both"/>
              <w:rPr>
                <w:highlight w:val="none"/>
              </w:rPr>
            </w:pPr>
            <w:r>
              <w:rPr>
                <w:rFonts w:ascii="仿宋_GB2312" w:hAnsi="仿宋_GB2312" w:eastAsia="仿宋_GB2312" w:cs="仿宋_GB2312"/>
                <w:highlight w:val="none"/>
              </w:rPr>
              <w:t>依法缴纳社会保障资金证明材料</w:t>
            </w:r>
          </w:p>
        </w:tc>
        <w:tc>
          <w:tcPr>
            <w:tcW w:w="4153" w:type="dxa"/>
          </w:tcPr>
          <w:p w14:paraId="77AABF4D">
            <w:pPr>
              <w:pStyle w:val="4"/>
              <w:jc w:val="both"/>
              <w:rPr>
                <w:highlight w:val="none"/>
              </w:rPr>
            </w:pPr>
            <w:r>
              <w:rPr>
                <w:rFonts w:ascii="仿宋_GB2312" w:hAnsi="仿宋_GB2312" w:eastAsia="仿宋_GB2312" w:cs="仿宋_GB2312"/>
                <w:highlight w:val="none"/>
              </w:rPr>
              <w:t>①投标人提供的社会保障资金缴纳凭据复印件应符合下列规定： a.投标截止时间前（不含投标截止时间的当月）已依法缴纳社会保障资金的投标人，提供投标截止时间前六个月（不含投标截止时间的当月）中任一月份的社会保障资金缴纳凭据复印件。 b.投标截止时间的当月成立的投标人，视同满足本项资格条件要求。 c.若为依法不需要缴纳或暂缓缴纳社会保障资金的投标人，提供依法不需要缴纳或暂缓缴纳社会保障资金证明材料的，视同满足本项资格条件要求。</w:t>
            </w:r>
          </w:p>
        </w:tc>
      </w:tr>
      <w:tr w14:paraId="76F9F6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41004B59">
            <w:pPr>
              <w:pStyle w:val="4"/>
              <w:jc w:val="both"/>
              <w:rPr>
                <w:highlight w:val="none"/>
              </w:rPr>
            </w:pPr>
            <w:r>
              <w:rPr>
                <w:rFonts w:ascii="仿宋_GB2312" w:hAnsi="仿宋_GB2312" w:eastAsia="仿宋_GB2312" w:cs="仿宋_GB2312"/>
                <w:highlight w:val="none"/>
              </w:rPr>
              <w:t>6</w:t>
            </w:r>
          </w:p>
        </w:tc>
        <w:tc>
          <w:tcPr>
            <w:tcW w:w="3322" w:type="dxa"/>
          </w:tcPr>
          <w:p w14:paraId="3EC9C319">
            <w:pPr>
              <w:pStyle w:val="4"/>
              <w:jc w:val="both"/>
              <w:rPr>
                <w:highlight w:val="none"/>
              </w:rPr>
            </w:pPr>
            <w:r>
              <w:rPr>
                <w:rFonts w:ascii="仿宋_GB2312" w:hAnsi="仿宋_GB2312" w:eastAsia="仿宋_GB2312" w:cs="仿宋_GB2312"/>
                <w:highlight w:val="none"/>
              </w:rPr>
              <w:t>具备履行合同所必需设备和专业技术能力的声明函(若有)</w:t>
            </w:r>
          </w:p>
        </w:tc>
        <w:tc>
          <w:tcPr>
            <w:tcW w:w="4153" w:type="dxa"/>
          </w:tcPr>
          <w:p w14:paraId="31838CA7">
            <w:pPr>
              <w:pStyle w:val="4"/>
              <w:jc w:val="both"/>
              <w:rPr>
                <w:highlight w:val="none"/>
              </w:rPr>
            </w:pPr>
            <w:r>
              <w:rPr>
                <w:rFonts w:ascii="仿宋_GB2312" w:hAnsi="仿宋_GB2312" w:eastAsia="仿宋_GB2312" w:cs="仿宋_GB2312"/>
                <w:highlight w:val="none"/>
              </w:rPr>
              <w:t>①招标文件未要求投标人提供“具备履行合同所必需的设备和专业技术能力专项证明材料”的，投标人应提供本声明函。 ②招标文件要求投标人提供“具备履行合同所必需的设备和专业技术能力专项证明材料”的，投标人可不提供本声明函。</w:t>
            </w:r>
          </w:p>
        </w:tc>
      </w:tr>
      <w:tr w14:paraId="782F90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71DE5DBB">
            <w:pPr>
              <w:pStyle w:val="4"/>
              <w:jc w:val="both"/>
              <w:rPr>
                <w:highlight w:val="none"/>
              </w:rPr>
            </w:pPr>
            <w:r>
              <w:rPr>
                <w:rFonts w:ascii="仿宋_GB2312" w:hAnsi="仿宋_GB2312" w:eastAsia="仿宋_GB2312" w:cs="仿宋_GB2312"/>
                <w:highlight w:val="none"/>
              </w:rPr>
              <w:t>7</w:t>
            </w:r>
          </w:p>
        </w:tc>
        <w:tc>
          <w:tcPr>
            <w:tcW w:w="3322" w:type="dxa"/>
          </w:tcPr>
          <w:p w14:paraId="066371BB">
            <w:pPr>
              <w:pStyle w:val="4"/>
              <w:jc w:val="both"/>
              <w:rPr>
                <w:highlight w:val="none"/>
              </w:rPr>
            </w:pPr>
            <w:r>
              <w:rPr>
                <w:rFonts w:ascii="仿宋_GB2312" w:hAnsi="仿宋_GB2312" w:eastAsia="仿宋_GB2312" w:cs="仿宋_GB2312"/>
                <w:highlight w:val="none"/>
              </w:rPr>
              <w:t>参加采购活动前三年内在经营活动中没有重大违法记录的声明</w:t>
            </w:r>
          </w:p>
        </w:tc>
        <w:tc>
          <w:tcPr>
            <w:tcW w:w="4153" w:type="dxa"/>
          </w:tcPr>
          <w:p w14:paraId="39511105">
            <w:pPr>
              <w:pStyle w:val="4"/>
              <w:jc w:val="both"/>
              <w:rPr>
                <w:highlight w:val="none"/>
              </w:rPr>
            </w:pPr>
            <w:r>
              <w:rPr>
                <w:rFonts w:ascii="仿宋_GB2312" w:hAnsi="仿宋_GB2312" w:eastAsia="仿宋_GB2312" w:cs="仿宋_GB2312"/>
                <w:highlight w:val="none"/>
              </w:rPr>
              <w:t>①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14:paraId="7436B7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495F7725">
            <w:pPr>
              <w:pStyle w:val="4"/>
              <w:jc w:val="both"/>
              <w:rPr>
                <w:highlight w:val="none"/>
              </w:rPr>
            </w:pPr>
            <w:r>
              <w:rPr>
                <w:rFonts w:ascii="仿宋_GB2312" w:hAnsi="仿宋_GB2312" w:eastAsia="仿宋_GB2312" w:cs="仿宋_GB2312"/>
                <w:highlight w:val="none"/>
              </w:rPr>
              <w:t>8</w:t>
            </w:r>
          </w:p>
        </w:tc>
        <w:tc>
          <w:tcPr>
            <w:tcW w:w="3322" w:type="dxa"/>
          </w:tcPr>
          <w:p w14:paraId="656B3F61">
            <w:pPr>
              <w:pStyle w:val="4"/>
              <w:jc w:val="both"/>
              <w:rPr>
                <w:highlight w:val="none"/>
              </w:rPr>
            </w:pPr>
            <w:r>
              <w:rPr>
                <w:rFonts w:ascii="仿宋_GB2312" w:hAnsi="仿宋_GB2312" w:eastAsia="仿宋_GB2312" w:cs="仿宋_GB2312"/>
                <w:highlight w:val="none"/>
              </w:rPr>
              <w:t>信用记录查询结果</w:t>
            </w:r>
          </w:p>
        </w:tc>
        <w:tc>
          <w:tcPr>
            <w:tcW w:w="4153" w:type="dxa"/>
          </w:tcPr>
          <w:p w14:paraId="5473F2ED">
            <w:pPr>
              <w:pStyle w:val="4"/>
              <w:jc w:val="both"/>
              <w:rPr>
                <w:highlight w:val="none"/>
              </w:rPr>
            </w:pPr>
            <w:r>
              <w:rPr>
                <w:rFonts w:ascii="仿宋_GB2312" w:hAnsi="仿宋_GB2312" w:eastAsia="仿宋_GB2312" w:cs="仿宋_GB2312"/>
                <w:highlight w:val="none"/>
              </w:rPr>
              <w:t>①信用记录查询的截止时点：信用记录查询的截止时点为本项目投标截止当日。 ②信用记录查询渠道：信用中国（www.creditchina.gov.cn）、中国政府采购网（www.ccgp.gov.cn）。 ③信用记录的查询：由资格审查小组通过上述网站查询并打印投标人的信用记录。 ④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14:paraId="4318D2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1EE079F6">
            <w:pPr>
              <w:pStyle w:val="4"/>
              <w:jc w:val="both"/>
              <w:rPr>
                <w:highlight w:val="none"/>
              </w:rPr>
            </w:pPr>
            <w:r>
              <w:rPr>
                <w:rFonts w:ascii="仿宋_GB2312" w:hAnsi="仿宋_GB2312" w:eastAsia="仿宋_GB2312" w:cs="仿宋_GB2312"/>
                <w:highlight w:val="none"/>
              </w:rPr>
              <w:t>9</w:t>
            </w:r>
          </w:p>
        </w:tc>
        <w:tc>
          <w:tcPr>
            <w:tcW w:w="3322" w:type="dxa"/>
          </w:tcPr>
          <w:p w14:paraId="5C7B35C4">
            <w:pPr>
              <w:pStyle w:val="4"/>
              <w:jc w:val="both"/>
              <w:rPr>
                <w:highlight w:val="none"/>
              </w:rPr>
            </w:pPr>
            <w:r>
              <w:rPr>
                <w:rFonts w:ascii="仿宋_GB2312" w:hAnsi="仿宋_GB2312" w:eastAsia="仿宋_GB2312" w:cs="仿宋_GB2312"/>
                <w:highlight w:val="none"/>
              </w:rPr>
              <w:t>中小企业声明函（以资格条件落实中小企业扶持政策时适用 ）</w:t>
            </w:r>
          </w:p>
        </w:tc>
        <w:tc>
          <w:tcPr>
            <w:tcW w:w="4153" w:type="dxa"/>
          </w:tcPr>
          <w:p w14:paraId="43287BBD">
            <w:pPr>
              <w:pStyle w:val="4"/>
              <w:jc w:val="both"/>
              <w:rPr>
                <w:highlight w:val="none"/>
              </w:rPr>
            </w:pPr>
            <w:r>
              <w:rPr>
                <w:rFonts w:ascii="仿宋_GB2312" w:hAnsi="仿宋_GB2312" w:eastAsia="仿宋_GB2312" w:cs="仿宋_GB2312"/>
                <w:highlight w:val="none"/>
              </w:rPr>
              <w:t>①投标人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本项目采购标的对应的中小企业划分标准所属行业详见特定资格条件。 ②投标人为监狱企业的，可不填写本声明函，根据其提供的由省级以上监狱管理局、戒毒管理局（含新疆生产建设兵团）出具的属于监狱企业的证明文件进行认定，监狱企业视同小型、微型企业。 ③投标人为残疾人福利性单位的，可不填写本声明函，根据其提供的《残疾人福利性单位声明函》进行认定，残疾人福利性单位视同小型、微型企业。 ④以联合体形式落实中小企业预留份额时，还需提供《联合体协议》。 ⑤以合同分包形式落实中小企业预留份额时，还需提供《分包意向协议》。</w:t>
            </w:r>
          </w:p>
        </w:tc>
      </w:tr>
      <w:tr w14:paraId="1F1254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48667CE1">
            <w:pPr>
              <w:pStyle w:val="4"/>
              <w:jc w:val="both"/>
              <w:rPr>
                <w:highlight w:val="none"/>
              </w:rPr>
            </w:pPr>
            <w:r>
              <w:rPr>
                <w:rFonts w:ascii="仿宋_GB2312" w:hAnsi="仿宋_GB2312" w:eastAsia="仿宋_GB2312" w:cs="仿宋_GB2312"/>
                <w:highlight w:val="none"/>
              </w:rPr>
              <w:t>10</w:t>
            </w:r>
          </w:p>
        </w:tc>
        <w:tc>
          <w:tcPr>
            <w:tcW w:w="3322" w:type="dxa"/>
          </w:tcPr>
          <w:p w14:paraId="599707B9">
            <w:pPr>
              <w:pStyle w:val="4"/>
              <w:jc w:val="both"/>
              <w:rPr>
                <w:highlight w:val="none"/>
              </w:rPr>
            </w:pPr>
            <w:r>
              <w:rPr>
                <w:rFonts w:ascii="仿宋_GB2312" w:hAnsi="仿宋_GB2312" w:eastAsia="仿宋_GB2312" w:cs="仿宋_GB2312"/>
                <w:highlight w:val="none"/>
              </w:rPr>
              <w:t>联合体协议（若有）</w:t>
            </w:r>
          </w:p>
        </w:tc>
        <w:tc>
          <w:tcPr>
            <w:tcW w:w="4153" w:type="dxa"/>
          </w:tcPr>
          <w:p w14:paraId="2F7ADCE0">
            <w:pPr>
              <w:pStyle w:val="4"/>
              <w:jc w:val="both"/>
              <w:rPr>
                <w:highlight w:val="none"/>
              </w:rPr>
            </w:pPr>
            <w:r>
              <w:rPr>
                <w:rFonts w:ascii="仿宋_GB2312" w:hAnsi="仿宋_GB2312" w:eastAsia="仿宋_GB2312" w:cs="仿宋_GB2312"/>
                <w:highlight w:val="none"/>
              </w:rPr>
              <w:t>①招标文件接受联合体投标且投标人为联合体的，投标人应提供本协议；否则无须提供。 ②本协议由委托代理人签字或盖章的，应按照招标文件第七章载明的格式提供“单位授权书”。</w:t>
            </w:r>
          </w:p>
        </w:tc>
      </w:tr>
    </w:tbl>
    <w:p w14:paraId="39F4C096">
      <w:pPr>
        <w:pStyle w:val="4"/>
        <w:ind w:firstLine="480"/>
        <w:jc w:val="both"/>
        <w:rPr>
          <w:highlight w:val="none"/>
        </w:rPr>
      </w:pPr>
      <w:r>
        <w:rPr>
          <w:rFonts w:ascii="仿宋_GB2312" w:hAnsi="仿宋_GB2312" w:eastAsia="仿宋_GB2312" w:cs="仿宋_GB2312"/>
          <w:highlight w:val="none"/>
        </w:rPr>
        <w:t>※备注说明</w:t>
      </w:r>
    </w:p>
    <w:p w14:paraId="7E5BF5EC">
      <w:pPr>
        <w:pStyle w:val="4"/>
        <w:ind w:firstLine="480"/>
        <w:jc w:val="both"/>
        <w:rPr>
          <w:highlight w:val="none"/>
        </w:rPr>
      </w:pPr>
      <w:r>
        <w:rPr>
          <w:rFonts w:ascii="仿宋_GB2312" w:hAnsi="仿宋_GB2312" w:eastAsia="仿宋_GB2312" w:cs="仿宋_GB2312"/>
          <w:highlight w:val="none"/>
        </w:rPr>
        <w:t>①投标人应根据自身实际情况提供上述资格要求的证明材料，格式可参考招标文件第七章提供。</w:t>
      </w:r>
    </w:p>
    <w:p w14:paraId="3B41BE7B">
      <w:pPr>
        <w:pStyle w:val="4"/>
        <w:ind w:firstLine="480"/>
        <w:jc w:val="both"/>
        <w:rPr>
          <w:highlight w:val="none"/>
        </w:rPr>
      </w:pPr>
      <w:r>
        <w:rPr>
          <w:rFonts w:ascii="仿宋_GB2312" w:hAnsi="仿宋_GB2312" w:eastAsia="仿宋_GB2312" w:cs="仿宋_GB2312"/>
          <w:highlight w:val="none"/>
        </w:rPr>
        <w:t>②投标人提供的相应证明材料复印件均应符合：内容完整、清晰、整洁，并由投标人加盖其单位公章。</w:t>
      </w:r>
    </w:p>
    <w:p w14:paraId="3839F5C5">
      <w:pPr>
        <w:pStyle w:val="4"/>
        <w:ind w:firstLine="480"/>
        <w:jc w:val="left"/>
        <w:rPr>
          <w:highlight w:val="none"/>
        </w:rPr>
      </w:pPr>
      <w:r>
        <w:rPr>
          <w:rFonts w:ascii="仿宋_GB2312" w:hAnsi="仿宋_GB2312" w:eastAsia="仿宋_GB2312" w:cs="仿宋_GB2312"/>
          <w:highlight w:val="none"/>
        </w:rPr>
        <w:t>③根据招标文件第四章第一点资格审查的1.3“④其他资格证明文件”要求，允许供应商采用资格承诺制的并提供符合要求的资格承诺函，视为满足招标文件的资格要求。</w:t>
      </w:r>
    </w:p>
    <w:p w14:paraId="2EEE6FF0">
      <w:pPr>
        <w:pStyle w:val="4"/>
        <w:ind w:firstLine="480"/>
        <w:jc w:val="both"/>
        <w:rPr>
          <w:highlight w:val="none"/>
        </w:rPr>
      </w:pPr>
      <w:r>
        <w:rPr>
          <w:rFonts w:ascii="仿宋_GB2312" w:hAnsi="仿宋_GB2312" w:eastAsia="仿宋_GB2312" w:cs="仿宋_GB2312"/>
          <w:highlight w:val="none"/>
        </w:rPr>
        <w:t>④.其他资格证明文件：</w:t>
      </w:r>
    </w:p>
    <w:p w14:paraId="4F185B86">
      <w:pPr>
        <w:pStyle w:val="4"/>
        <w:jc w:val="left"/>
        <w:rPr>
          <w:highlight w:val="none"/>
        </w:rPr>
      </w:pPr>
      <w:r>
        <w:rPr>
          <w:rFonts w:ascii="仿宋_GB2312" w:hAnsi="仿宋_GB2312" w:eastAsia="仿宋_GB2312" w:cs="仿宋_GB2312"/>
          <w:highlight w:val="none"/>
        </w:rPr>
        <w:t>采购包1：</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692"/>
        <w:gridCol w:w="4614"/>
      </w:tblGrid>
      <w:tr w14:paraId="2367FD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6F765E61">
            <w:pPr>
              <w:pStyle w:val="4"/>
              <w:jc w:val="left"/>
              <w:rPr>
                <w:highlight w:val="none"/>
              </w:rPr>
            </w:pPr>
            <w:r>
              <w:rPr>
                <w:rFonts w:ascii="仿宋_GB2312" w:hAnsi="仿宋_GB2312" w:eastAsia="仿宋_GB2312" w:cs="仿宋_GB2312"/>
                <w:highlight w:val="none"/>
              </w:rPr>
              <w:t xml:space="preserve"> 资格审查要求概况</w:t>
            </w:r>
          </w:p>
        </w:tc>
        <w:tc>
          <w:tcPr>
            <w:tcW w:w="4614" w:type="dxa"/>
          </w:tcPr>
          <w:p w14:paraId="63E4C23B">
            <w:pPr>
              <w:pStyle w:val="4"/>
              <w:jc w:val="left"/>
              <w:rPr>
                <w:highlight w:val="none"/>
              </w:rPr>
            </w:pPr>
            <w:r>
              <w:rPr>
                <w:rFonts w:ascii="仿宋_GB2312" w:hAnsi="仿宋_GB2312" w:eastAsia="仿宋_GB2312" w:cs="仿宋_GB2312"/>
                <w:highlight w:val="none"/>
              </w:rPr>
              <w:t xml:space="preserve"> 评审点具体描述</w:t>
            </w:r>
          </w:p>
        </w:tc>
      </w:tr>
      <w:tr w14:paraId="191362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5C504A33">
            <w:pPr>
              <w:pStyle w:val="4"/>
              <w:jc w:val="left"/>
              <w:rPr>
                <w:highlight w:val="none"/>
              </w:rPr>
            </w:pPr>
            <w:r>
              <w:rPr>
                <w:rFonts w:ascii="仿宋_GB2312" w:hAnsi="仿宋_GB2312" w:eastAsia="仿宋_GB2312" w:cs="仿宋_GB2312"/>
                <w:highlight w:val="none"/>
              </w:rPr>
              <w:t>资格承诺函</w:t>
            </w:r>
          </w:p>
        </w:tc>
        <w:tc>
          <w:tcPr>
            <w:tcW w:w="4614" w:type="dxa"/>
          </w:tcPr>
          <w:p w14:paraId="1576FD21">
            <w:pPr>
              <w:pStyle w:val="4"/>
              <w:jc w:val="left"/>
              <w:rPr>
                <w:highlight w:val="none"/>
              </w:rPr>
            </w:pPr>
            <w:r>
              <w:rPr>
                <w:rFonts w:ascii="仿宋_GB2312" w:hAnsi="仿宋_GB2312" w:eastAsia="仿宋_GB2312" w:cs="仿宋_GB2312"/>
                <w:highlight w:val="none"/>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bl>
    <w:p w14:paraId="51761E34">
      <w:pPr>
        <w:pStyle w:val="4"/>
        <w:ind w:firstLine="480"/>
        <w:jc w:val="both"/>
        <w:rPr>
          <w:highlight w:val="none"/>
        </w:rPr>
      </w:pPr>
      <w:r>
        <w:rPr>
          <w:rFonts w:ascii="仿宋_GB2312" w:hAnsi="仿宋_GB2312" w:eastAsia="仿宋_GB2312" w:cs="仿宋_GB2312"/>
          <w:highlight w:val="none"/>
        </w:rPr>
        <w:t>（3）投标保证金。</w:t>
      </w:r>
    </w:p>
    <w:p w14:paraId="795674B6">
      <w:pPr>
        <w:pStyle w:val="4"/>
        <w:ind w:firstLine="480"/>
        <w:jc w:val="both"/>
        <w:rPr>
          <w:highlight w:val="none"/>
        </w:rPr>
      </w:pPr>
      <w:r>
        <w:rPr>
          <w:rFonts w:ascii="仿宋_GB2312" w:hAnsi="仿宋_GB2312" w:eastAsia="仿宋_GB2312" w:cs="仿宋_GB2312"/>
          <w:highlight w:val="none"/>
        </w:rPr>
        <w:t>1.4有下列情形之一的，资格审查不合格：</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06"/>
      </w:tblGrid>
      <w:tr w14:paraId="113AB08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3DE3BB71">
            <w:pPr>
              <w:pStyle w:val="4"/>
              <w:jc w:val="left"/>
              <w:rPr>
                <w:highlight w:val="none"/>
              </w:rPr>
            </w:pPr>
            <w:r>
              <w:rPr>
                <w:rFonts w:ascii="仿宋_GB2312" w:hAnsi="仿宋_GB2312" w:eastAsia="仿宋_GB2312" w:cs="仿宋_GB2312"/>
                <w:highlight w:val="none"/>
              </w:rPr>
              <w:t xml:space="preserve"> 明细</w:t>
            </w:r>
          </w:p>
        </w:tc>
      </w:tr>
      <w:tr w14:paraId="3C1C71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4A4210D5">
            <w:pPr>
              <w:pStyle w:val="4"/>
              <w:jc w:val="left"/>
              <w:rPr>
                <w:highlight w:val="none"/>
              </w:rPr>
            </w:pPr>
            <w:r>
              <w:rPr>
                <w:rFonts w:ascii="仿宋_GB2312" w:hAnsi="仿宋_GB2312" w:eastAsia="仿宋_GB2312" w:cs="仿宋_GB2312"/>
                <w:highlight w:val="none"/>
              </w:rPr>
              <w:t>未按照招标文件规定提交投标函</w:t>
            </w:r>
          </w:p>
        </w:tc>
      </w:tr>
      <w:tr w14:paraId="450212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781AB8F2">
            <w:pPr>
              <w:pStyle w:val="4"/>
              <w:jc w:val="left"/>
              <w:rPr>
                <w:highlight w:val="none"/>
              </w:rPr>
            </w:pPr>
            <w:r>
              <w:rPr>
                <w:rFonts w:ascii="仿宋_GB2312" w:hAnsi="仿宋_GB2312" w:eastAsia="仿宋_GB2312" w:cs="仿宋_GB2312"/>
                <w:highlight w:val="none"/>
              </w:rPr>
              <w:t>未按照招标文件规定提交投标人的资格及资信文件</w:t>
            </w:r>
          </w:p>
        </w:tc>
      </w:tr>
      <w:tr w14:paraId="19630B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00F4CCAE">
            <w:pPr>
              <w:pStyle w:val="4"/>
              <w:jc w:val="left"/>
              <w:rPr>
                <w:highlight w:val="none"/>
              </w:rPr>
            </w:pPr>
            <w:r>
              <w:rPr>
                <w:rFonts w:ascii="仿宋_GB2312" w:hAnsi="仿宋_GB2312" w:eastAsia="仿宋_GB2312" w:cs="仿宋_GB2312"/>
                <w:highlight w:val="none"/>
              </w:rPr>
              <w:t>未按照招标文件规定提交投标保证金</w:t>
            </w:r>
          </w:p>
        </w:tc>
      </w:tr>
    </w:tbl>
    <w:p w14:paraId="2CBECB82">
      <w:pPr>
        <w:pStyle w:val="4"/>
        <w:ind w:firstLine="480"/>
        <w:jc w:val="left"/>
        <w:rPr>
          <w:highlight w:val="none"/>
        </w:rPr>
      </w:pPr>
      <w:r>
        <w:rPr>
          <w:rFonts w:ascii="仿宋_GB2312" w:hAnsi="仿宋_GB2312" w:eastAsia="仿宋_GB2312" w:cs="仿宋_GB2312"/>
          <w:highlight w:val="none"/>
        </w:rPr>
        <w:t>采购包1：</w:t>
      </w:r>
    </w:p>
    <w:p w14:paraId="2577485D">
      <w:pPr>
        <w:pStyle w:val="4"/>
        <w:jc w:val="left"/>
        <w:rPr>
          <w:highlight w:val="none"/>
        </w:rPr>
      </w:pPr>
      <w:r>
        <w:rPr>
          <w:rFonts w:ascii="仿宋_GB2312" w:hAnsi="仿宋_GB2312" w:eastAsia="仿宋_GB2312" w:cs="仿宋_GB2312"/>
          <w:highlight w:val="none"/>
        </w:rPr>
        <w:t>资格审查不合格项：无</w:t>
      </w:r>
    </w:p>
    <w:p w14:paraId="72C5C18A">
      <w:pPr>
        <w:pStyle w:val="4"/>
        <w:ind w:firstLine="480"/>
        <w:jc w:val="both"/>
        <w:rPr>
          <w:highlight w:val="none"/>
        </w:rPr>
      </w:pPr>
      <w:r>
        <w:rPr>
          <w:rFonts w:ascii="仿宋_GB2312" w:hAnsi="仿宋_GB2312" w:eastAsia="仿宋_GB2312" w:cs="仿宋_GB2312"/>
          <w:highlight w:val="none"/>
        </w:rPr>
        <w:t>1.5若本项目接受联合体投标且投标人为联合体，联合体中有同类资质的供应商按照联合体分工承担相同工作的，应先按照资质等级较低的供应商确定资质等级，再按照本章第1.2、1.3、1.4条规定进行资格审查。</w:t>
      </w:r>
    </w:p>
    <w:p w14:paraId="56924952">
      <w:pPr>
        <w:pStyle w:val="4"/>
        <w:ind w:firstLine="480"/>
        <w:jc w:val="both"/>
        <w:rPr>
          <w:highlight w:val="none"/>
        </w:rPr>
      </w:pPr>
      <w:r>
        <w:rPr>
          <w:rFonts w:ascii="仿宋_GB2312" w:hAnsi="仿宋_GB2312" w:eastAsia="仿宋_GB2312" w:cs="仿宋_GB2312"/>
          <w:highlight w:val="none"/>
        </w:rPr>
        <w:t>2、资格审查情况不得私自外泄，有关信息由 福建省公共资源交易中心 统一对外发布。</w:t>
      </w:r>
    </w:p>
    <w:p w14:paraId="1100BB49">
      <w:pPr>
        <w:pStyle w:val="4"/>
        <w:ind w:firstLine="480"/>
        <w:jc w:val="both"/>
        <w:rPr>
          <w:highlight w:val="none"/>
        </w:rPr>
      </w:pPr>
      <w:r>
        <w:rPr>
          <w:rFonts w:ascii="仿宋_GB2312" w:hAnsi="仿宋_GB2312" w:eastAsia="仿宋_GB2312" w:cs="仿宋_GB2312"/>
          <w:highlight w:val="none"/>
        </w:rPr>
        <w:t>3、资格审查合格的投标人不足三家的，不进行评标。同时，本次采购活动结束， 福建省公共资源交易中心 将依法组织后续采购活动（包括但不限于：重新招标、采用其他方式采购等）。</w:t>
      </w:r>
    </w:p>
    <w:p w14:paraId="135F0650">
      <w:pPr>
        <w:pStyle w:val="4"/>
        <w:jc w:val="both"/>
        <w:outlineLvl w:val="2"/>
        <w:rPr>
          <w:highlight w:val="none"/>
        </w:rPr>
      </w:pPr>
      <w:r>
        <w:rPr>
          <w:rFonts w:ascii="仿宋_GB2312" w:hAnsi="仿宋_GB2312" w:eastAsia="仿宋_GB2312" w:cs="仿宋_GB2312"/>
          <w:b/>
          <w:sz w:val="28"/>
          <w:highlight w:val="none"/>
        </w:rPr>
        <w:t>二、评标</w:t>
      </w:r>
    </w:p>
    <w:p w14:paraId="01AAEAC6">
      <w:pPr>
        <w:pStyle w:val="4"/>
        <w:ind w:firstLine="480"/>
        <w:jc w:val="both"/>
        <w:rPr>
          <w:highlight w:val="none"/>
        </w:rPr>
      </w:pPr>
      <w:r>
        <w:rPr>
          <w:rFonts w:ascii="仿宋_GB2312" w:hAnsi="仿宋_GB2312" w:eastAsia="仿宋_GB2312" w:cs="仿宋_GB2312"/>
          <w:highlight w:val="none"/>
        </w:rPr>
        <w:t>4、资格审查结束后，由 福建省公共资源交易中心 负责评标委员会的组建及评标工作的组织。</w:t>
      </w:r>
    </w:p>
    <w:p w14:paraId="037FDF48">
      <w:pPr>
        <w:pStyle w:val="4"/>
        <w:ind w:firstLine="480"/>
        <w:jc w:val="both"/>
        <w:rPr>
          <w:highlight w:val="none"/>
        </w:rPr>
      </w:pPr>
      <w:r>
        <w:rPr>
          <w:rFonts w:ascii="仿宋_GB2312" w:hAnsi="仿宋_GB2312" w:eastAsia="仿宋_GB2312" w:cs="仿宋_GB2312"/>
          <w:highlight w:val="none"/>
        </w:rPr>
        <w:t>5、评标委员会</w:t>
      </w:r>
    </w:p>
    <w:p w14:paraId="236295B5">
      <w:pPr>
        <w:pStyle w:val="4"/>
        <w:ind w:firstLine="480"/>
        <w:jc w:val="both"/>
        <w:rPr>
          <w:highlight w:val="none"/>
        </w:rPr>
      </w:pPr>
      <w:r>
        <w:rPr>
          <w:rFonts w:ascii="仿宋_GB2312" w:hAnsi="仿宋_GB2312" w:eastAsia="仿宋_GB2312" w:cs="仿宋_GB2312"/>
          <w:highlight w:val="none"/>
        </w:rPr>
        <w:t>由采购人代表和评审专家两部分共5人组成，其中由福建省政府采购评审专家库产生的评审专家4人，由采购人派出的采购人代表1人。</w:t>
      </w:r>
    </w:p>
    <w:p w14:paraId="71A1D407">
      <w:pPr>
        <w:pStyle w:val="4"/>
        <w:ind w:firstLine="480"/>
        <w:jc w:val="both"/>
        <w:rPr>
          <w:highlight w:val="none"/>
        </w:rPr>
      </w:pPr>
      <w:r>
        <w:rPr>
          <w:rFonts w:ascii="仿宋_GB2312" w:hAnsi="仿宋_GB2312" w:eastAsia="仿宋_GB2312" w:cs="仿宋_GB2312"/>
          <w:highlight w:val="none"/>
        </w:rPr>
        <w:t>5.2评标委员会负责具体评标事务，并按照下列原则依法独立履行有关职责：</w:t>
      </w:r>
    </w:p>
    <w:p w14:paraId="710CAD3B">
      <w:pPr>
        <w:pStyle w:val="4"/>
        <w:ind w:firstLine="480"/>
        <w:jc w:val="both"/>
        <w:rPr>
          <w:highlight w:val="none"/>
        </w:rPr>
      </w:pPr>
      <w:r>
        <w:rPr>
          <w:rFonts w:ascii="仿宋_GB2312" w:hAnsi="仿宋_GB2312" w:eastAsia="仿宋_GB2312" w:cs="仿宋_GB2312"/>
          <w:highlight w:val="none"/>
        </w:rPr>
        <w:t>（1）评标应保护国家利益、社会公共利益和各方当事人合法权益，提高采购效益，保证项目质量。</w:t>
      </w:r>
    </w:p>
    <w:p w14:paraId="2A505CBE">
      <w:pPr>
        <w:pStyle w:val="4"/>
        <w:ind w:firstLine="480"/>
        <w:jc w:val="both"/>
        <w:rPr>
          <w:highlight w:val="none"/>
        </w:rPr>
      </w:pPr>
      <w:r>
        <w:rPr>
          <w:rFonts w:ascii="仿宋_GB2312" w:hAnsi="仿宋_GB2312" w:eastAsia="仿宋_GB2312" w:cs="仿宋_GB2312"/>
          <w:highlight w:val="none"/>
        </w:rPr>
        <w:t>（2）评标应遵循公平、公正、科学、严谨和择优原则。</w:t>
      </w:r>
    </w:p>
    <w:p w14:paraId="4897BD0B">
      <w:pPr>
        <w:pStyle w:val="4"/>
        <w:ind w:firstLine="480"/>
        <w:jc w:val="both"/>
        <w:rPr>
          <w:highlight w:val="none"/>
        </w:rPr>
      </w:pPr>
      <w:r>
        <w:rPr>
          <w:rFonts w:ascii="仿宋_GB2312" w:hAnsi="仿宋_GB2312" w:eastAsia="仿宋_GB2312" w:cs="仿宋_GB2312"/>
          <w:highlight w:val="none"/>
        </w:rPr>
        <w:t>（3）评标的依据是招标文件和电子投标文件。</w:t>
      </w:r>
    </w:p>
    <w:p w14:paraId="12D79E62">
      <w:pPr>
        <w:pStyle w:val="4"/>
        <w:ind w:firstLine="480"/>
        <w:jc w:val="both"/>
        <w:rPr>
          <w:highlight w:val="none"/>
        </w:rPr>
      </w:pPr>
      <w:r>
        <w:rPr>
          <w:rFonts w:ascii="仿宋_GB2312" w:hAnsi="仿宋_GB2312" w:eastAsia="仿宋_GB2312" w:cs="仿宋_GB2312"/>
          <w:highlight w:val="none"/>
        </w:rPr>
        <w:t>（4）应按照招标文件规定推荐中标候选人或确定中标人。</w:t>
      </w:r>
    </w:p>
    <w:p w14:paraId="26FA1324">
      <w:pPr>
        <w:pStyle w:val="4"/>
        <w:ind w:firstLine="480"/>
        <w:jc w:val="both"/>
        <w:rPr>
          <w:highlight w:val="none"/>
        </w:rPr>
      </w:pPr>
      <w:r>
        <w:rPr>
          <w:rFonts w:ascii="仿宋_GB2312" w:hAnsi="仿宋_GB2312" w:eastAsia="仿宋_GB2312" w:cs="仿宋_GB2312"/>
          <w:highlight w:val="none"/>
        </w:rPr>
        <w:t>（5）评标应遵守下列评标纪律：</w:t>
      </w:r>
    </w:p>
    <w:p w14:paraId="32D7CF02">
      <w:pPr>
        <w:pStyle w:val="4"/>
        <w:ind w:firstLine="480"/>
        <w:jc w:val="both"/>
        <w:rPr>
          <w:highlight w:val="none"/>
        </w:rPr>
      </w:pPr>
      <w:r>
        <w:rPr>
          <w:rFonts w:ascii="仿宋_GB2312" w:hAnsi="仿宋_GB2312" w:eastAsia="仿宋_GB2312" w:cs="仿宋_GB2312"/>
          <w:highlight w:val="none"/>
        </w:rPr>
        <w:t>①评标情况不得私自外泄，有关信息由 福建省公共资源交易中心 统一对外发布。</w:t>
      </w:r>
    </w:p>
    <w:p w14:paraId="25454E02">
      <w:pPr>
        <w:pStyle w:val="4"/>
        <w:ind w:firstLine="480"/>
        <w:jc w:val="both"/>
        <w:rPr>
          <w:highlight w:val="none"/>
        </w:rPr>
      </w:pPr>
      <w:r>
        <w:rPr>
          <w:rFonts w:ascii="仿宋_GB2312" w:hAnsi="仿宋_GB2312" w:eastAsia="仿宋_GB2312" w:cs="仿宋_GB2312"/>
          <w:highlight w:val="none"/>
        </w:rPr>
        <w:t>②对 福建省公共资源交易中心 或投标人提供的要求保密的资料，不得摘记翻印和外传。</w:t>
      </w:r>
    </w:p>
    <w:p w14:paraId="1DFF934A">
      <w:pPr>
        <w:pStyle w:val="4"/>
        <w:ind w:firstLine="480"/>
        <w:jc w:val="both"/>
        <w:rPr>
          <w:highlight w:val="none"/>
        </w:rPr>
      </w:pPr>
      <w:r>
        <w:rPr>
          <w:rFonts w:ascii="仿宋_GB2312" w:hAnsi="仿宋_GB2312" w:eastAsia="仿宋_GB2312" w:cs="仿宋_GB2312"/>
          <w:highlight w:val="none"/>
        </w:rPr>
        <w:t>③不得收受投标人或有关人员的任何礼物，不得串联鼓动其他人袒护某投标人。若与投标人存在利害关系，则应主动声明并回避。</w:t>
      </w:r>
    </w:p>
    <w:p w14:paraId="4B074357">
      <w:pPr>
        <w:pStyle w:val="4"/>
        <w:ind w:firstLine="480"/>
        <w:jc w:val="both"/>
        <w:rPr>
          <w:highlight w:val="none"/>
        </w:rPr>
      </w:pPr>
      <w:r>
        <w:rPr>
          <w:rFonts w:ascii="仿宋_GB2312" w:hAnsi="仿宋_GB2312" w:eastAsia="仿宋_GB2312" w:cs="仿宋_GB2312"/>
          <w:highlight w:val="none"/>
        </w:rPr>
        <w:t>④全体评委应按照招标文件规定进行评标，一切认定事项应查有实据且不得弄虚作假。</w:t>
      </w:r>
    </w:p>
    <w:p w14:paraId="1B4C8FC2">
      <w:pPr>
        <w:pStyle w:val="4"/>
        <w:ind w:firstLine="480"/>
        <w:jc w:val="both"/>
        <w:rPr>
          <w:highlight w:val="none"/>
        </w:rPr>
      </w:pPr>
      <w:r>
        <w:rPr>
          <w:rFonts w:ascii="仿宋_GB2312" w:hAnsi="仿宋_GB2312" w:eastAsia="仿宋_GB2312" w:cs="仿宋_GB2312"/>
          <w:highlight w:val="none"/>
        </w:rPr>
        <w:t>⑤评标中应充分发扬民主，推荐中标候选人或确定中标人后要服从评标报告。</w:t>
      </w:r>
    </w:p>
    <w:p w14:paraId="57384FE0">
      <w:pPr>
        <w:pStyle w:val="4"/>
        <w:ind w:firstLine="480"/>
        <w:jc w:val="both"/>
        <w:rPr>
          <w:highlight w:val="none"/>
        </w:rPr>
      </w:pPr>
      <w:r>
        <w:rPr>
          <w:rFonts w:ascii="仿宋_GB2312" w:hAnsi="仿宋_GB2312" w:eastAsia="仿宋_GB2312" w:cs="仿宋_GB2312"/>
          <w:highlight w:val="none"/>
        </w:rPr>
        <w:t>※对违反评标纪律的评委，将取消其评委资格，对评标工作造成严重损失者将予以通报批评乃至追究法律责任。</w:t>
      </w:r>
    </w:p>
    <w:p w14:paraId="342A9DBD">
      <w:pPr>
        <w:pStyle w:val="4"/>
        <w:ind w:firstLine="480"/>
        <w:jc w:val="both"/>
        <w:rPr>
          <w:highlight w:val="none"/>
        </w:rPr>
      </w:pPr>
      <w:r>
        <w:rPr>
          <w:rFonts w:ascii="仿宋_GB2312" w:hAnsi="仿宋_GB2312" w:eastAsia="仿宋_GB2312" w:cs="仿宋_GB2312"/>
          <w:highlight w:val="none"/>
        </w:rPr>
        <w:t>6、评标程序</w:t>
      </w:r>
    </w:p>
    <w:p w14:paraId="6BC788A1">
      <w:pPr>
        <w:pStyle w:val="4"/>
        <w:ind w:firstLine="480"/>
        <w:jc w:val="both"/>
        <w:rPr>
          <w:highlight w:val="none"/>
        </w:rPr>
      </w:pPr>
      <w:r>
        <w:rPr>
          <w:rFonts w:ascii="仿宋_GB2312" w:hAnsi="仿宋_GB2312" w:eastAsia="仿宋_GB2312" w:cs="仿宋_GB2312"/>
          <w:highlight w:val="none"/>
        </w:rPr>
        <w:t>6.1评标前的准备工作</w:t>
      </w:r>
    </w:p>
    <w:p w14:paraId="31E88F99">
      <w:pPr>
        <w:pStyle w:val="4"/>
        <w:ind w:firstLine="480"/>
        <w:jc w:val="both"/>
        <w:rPr>
          <w:highlight w:val="none"/>
        </w:rPr>
      </w:pPr>
      <w:r>
        <w:rPr>
          <w:rFonts w:ascii="仿宋_GB2312" w:hAnsi="仿宋_GB2312" w:eastAsia="仿宋_GB2312" w:cs="仿宋_GB2312"/>
          <w:highlight w:val="none"/>
        </w:rPr>
        <w:t>（1）全体评委应认真审阅招标文件，了解评委应履行或遵守的职责、义务和评标纪律。</w:t>
      </w:r>
    </w:p>
    <w:p w14:paraId="07F62A2A">
      <w:pPr>
        <w:pStyle w:val="4"/>
        <w:ind w:firstLine="480"/>
        <w:jc w:val="both"/>
        <w:rPr>
          <w:highlight w:val="none"/>
        </w:rPr>
      </w:pPr>
      <w:r>
        <w:rPr>
          <w:rFonts w:ascii="仿宋_GB2312" w:hAnsi="仿宋_GB2312" w:eastAsia="仿宋_GB2312" w:cs="仿宋_GB2312"/>
          <w:highlight w:val="none"/>
        </w:rPr>
        <w:t>（2）参加评标委员会的采购人代表可对本项目的背景和采购需求进行介绍，介绍材料应以书面形式提交（随采购文件一并存档），介绍内容不得含有歧视性、倾向性意见，不得超出招标文件所述范围。</w:t>
      </w:r>
    </w:p>
    <w:p w14:paraId="77524B11">
      <w:pPr>
        <w:pStyle w:val="4"/>
        <w:ind w:firstLine="480"/>
        <w:jc w:val="both"/>
        <w:rPr>
          <w:highlight w:val="none"/>
        </w:rPr>
      </w:pPr>
      <w:r>
        <w:rPr>
          <w:rFonts w:ascii="仿宋_GB2312" w:hAnsi="仿宋_GB2312" w:eastAsia="仿宋_GB2312" w:cs="仿宋_GB2312"/>
          <w:highlight w:val="none"/>
        </w:rPr>
        <w:t>6.2符合性审查</w:t>
      </w:r>
    </w:p>
    <w:p w14:paraId="58E51ED3">
      <w:pPr>
        <w:pStyle w:val="4"/>
        <w:ind w:firstLine="480"/>
        <w:jc w:val="both"/>
        <w:rPr>
          <w:highlight w:val="none"/>
        </w:rPr>
      </w:pPr>
      <w:r>
        <w:rPr>
          <w:rFonts w:ascii="仿宋_GB2312" w:hAnsi="仿宋_GB2312" w:eastAsia="仿宋_GB2312" w:cs="仿宋_GB2312"/>
          <w:highlight w:val="none"/>
        </w:rPr>
        <w:t>（1）评标委员会依据招标文件的实质性要求，对通过资格审查的电子投标文件进行符合性审查，以确定其是否满足招标文件的实质性要求。</w:t>
      </w:r>
    </w:p>
    <w:p w14:paraId="2F2C5252">
      <w:pPr>
        <w:pStyle w:val="4"/>
        <w:ind w:firstLine="480"/>
        <w:jc w:val="both"/>
        <w:rPr>
          <w:highlight w:val="none"/>
        </w:rPr>
      </w:pPr>
      <w:r>
        <w:rPr>
          <w:rFonts w:ascii="仿宋_GB2312" w:hAnsi="仿宋_GB2312" w:eastAsia="仿宋_GB2312" w:cs="仿宋_GB2312"/>
          <w:highlight w:val="none"/>
        </w:rPr>
        <w:t>（2）满足招标文件的实质性要求指电子投标文件对招标文件实质性要求的响应不存在重大偏差或保留。</w:t>
      </w:r>
    </w:p>
    <w:p w14:paraId="0829E91F">
      <w:pPr>
        <w:pStyle w:val="4"/>
        <w:ind w:firstLine="480"/>
        <w:jc w:val="both"/>
        <w:rPr>
          <w:highlight w:val="none"/>
        </w:rPr>
      </w:pPr>
      <w:r>
        <w:rPr>
          <w:rFonts w:ascii="仿宋_GB2312" w:hAnsi="仿宋_GB2312" w:eastAsia="仿宋_GB2312" w:cs="仿宋_GB2312"/>
          <w:highlight w:val="none"/>
        </w:rP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14:paraId="288DE914">
      <w:pPr>
        <w:pStyle w:val="4"/>
        <w:ind w:firstLine="480"/>
        <w:jc w:val="both"/>
        <w:rPr>
          <w:highlight w:val="none"/>
        </w:rPr>
      </w:pPr>
      <w:r>
        <w:rPr>
          <w:rFonts w:ascii="仿宋_GB2312" w:hAnsi="仿宋_GB2312" w:eastAsia="仿宋_GB2312" w:cs="仿宋_GB2312"/>
          <w:highlight w:val="none"/>
        </w:rPr>
        <w:t>（4）评标委员会审查判断电子投标文件是否满足招标文件的实质性要求仅基于电子投标文件本身而不寻求其他的外部证据。未满足招标文件实质性要求的电子投标文件将被评标委员会否决（即符合性审查不合格），被否决的电子投标文件不能通过补充、修改（澄清、说明或补正）等方式重新成为满足招标文件实质性要求的电子投标文件。</w:t>
      </w:r>
    </w:p>
    <w:p w14:paraId="6569B627">
      <w:pPr>
        <w:pStyle w:val="4"/>
        <w:ind w:firstLine="480"/>
        <w:jc w:val="both"/>
        <w:rPr>
          <w:highlight w:val="none"/>
        </w:rPr>
      </w:pPr>
      <w:r>
        <w:rPr>
          <w:rFonts w:ascii="仿宋_GB2312" w:hAnsi="仿宋_GB2312" w:eastAsia="仿宋_GB2312" w:cs="仿宋_GB2312"/>
          <w:highlight w:val="none"/>
        </w:rPr>
        <w:t>（5）评标委员会对所有投标人都执行相同的程序和标准。</w:t>
      </w:r>
    </w:p>
    <w:p w14:paraId="112DF5A7">
      <w:pPr>
        <w:pStyle w:val="4"/>
        <w:ind w:firstLine="480"/>
        <w:jc w:val="both"/>
        <w:rPr>
          <w:highlight w:val="none"/>
        </w:rPr>
      </w:pPr>
      <w:r>
        <w:rPr>
          <w:rFonts w:ascii="仿宋_GB2312" w:hAnsi="仿宋_GB2312" w:eastAsia="仿宋_GB2312" w:cs="仿宋_GB2312"/>
          <w:highlight w:val="none"/>
        </w:rPr>
        <w:t>（6）有下列情形之一的，符合性审查不合格：</w:t>
      </w:r>
    </w:p>
    <w:p w14:paraId="33C6FB2C">
      <w:pPr>
        <w:pStyle w:val="4"/>
        <w:ind w:firstLine="480"/>
        <w:jc w:val="both"/>
        <w:rPr>
          <w:highlight w:val="none"/>
        </w:rPr>
      </w:pPr>
      <w:r>
        <w:rPr>
          <w:rFonts w:ascii="仿宋_GB2312" w:hAnsi="仿宋_GB2312" w:eastAsia="仿宋_GB2312" w:cs="仿宋_GB2312"/>
          <w:highlight w:val="none"/>
        </w:rPr>
        <w:t>①项目一般情形：</w:t>
      </w:r>
    </w:p>
    <w:p w14:paraId="7AAF1AB8">
      <w:pPr>
        <w:pStyle w:val="4"/>
        <w:jc w:val="left"/>
        <w:rPr>
          <w:highlight w:val="none"/>
        </w:rPr>
      </w:pPr>
      <w:r>
        <w:rPr>
          <w:rFonts w:ascii="仿宋_GB2312" w:hAnsi="仿宋_GB2312" w:eastAsia="仿宋_GB2312" w:cs="仿宋_GB2312"/>
          <w:highlight w:val="none"/>
        </w:rPr>
        <w:t>采购包1：</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38"/>
        <w:gridCol w:w="3115"/>
        <w:gridCol w:w="4153"/>
      </w:tblGrid>
      <w:tr w14:paraId="2C3D56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24F758B4">
            <w:pPr>
              <w:pStyle w:val="4"/>
              <w:jc w:val="left"/>
              <w:rPr>
                <w:highlight w:val="none"/>
              </w:rPr>
            </w:pPr>
            <w:r>
              <w:rPr>
                <w:rFonts w:ascii="仿宋_GB2312" w:hAnsi="仿宋_GB2312" w:eastAsia="仿宋_GB2312" w:cs="仿宋_GB2312"/>
                <w:highlight w:val="none"/>
              </w:rPr>
              <w:t xml:space="preserve"> 序号</w:t>
            </w:r>
          </w:p>
        </w:tc>
        <w:tc>
          <w:tcPr>
            <w:tcW w:w="3115" w:type="dxa"/>
          </w:tcPr>
          <w:p w14:paraId="533BA9FB">
            <w:pPr>
              <w:pStyle w:val="4"/>
              <w:jc w:val="left"/>
              <w:rPr>
                <w:highlight w:val="none"/>
              </w:rPr>
            </w:pPr>
            <w:r>
              <w:rPr>
                <w:rFonts w:ascii="仿宋_GB2312" w:hAnsi="仿宋_GB2312" w:eastAsia="仿宋_GB2312" w:cs="仿宋_GB2312"/>
                <w:highlight w:val="none"/>
              </w:rPr>
              <w:t xml:space="preserve"> 符合审查要求概况</w:t>
            </w:r>
          </w:p>
        </w:tc>
        <w:tc>
          <w:tcPr>
            <w:tcW w:w="4153" w:type="dxa"/>
          </w:tcPr>
          <w:p w14:paraId="651517D7">
            <w:pPr>
              <w:pStyle w:val="4"/>
              <w:jc w:val="left"/>
              <w:rPr>
                <w:highlight w:val="none"/>
              </w:rPr>
            </w:pPr>
            <w:r>
              <w:rPr>
                <w:rFonts w:ascii="仿宋_GB2312" w:hAnsi="仿宋_GB2312" w:eastAsia="仿宋_GB2312" w:cs="仿宋_GB2312"/>
                <w:highlight w:val="none"/>
              </w:rPr>
              <w:t xml:space="preserve"> 评审点具体描述</w:t>
            </w:r>
          </w:p>
        </w:tc>
      </w:tr>
      <w:tr w14:paraId="3D8716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373A8C05">
            <w:pPr>
              <w:pStyle w:val="4"/>
              <w:jc w:val="left"/>
              <w:rPr>
                <w:highlight w:val="none"/>
              </w:rPr>
            </w:pPr>
            <w:r>
              <w:rPr>
                <w:rFonts w:ascii="仿宋_GB2312" w:hAnsi="仿宋_GB2312" w:eastAsia="仿宋_GB2312" w:cs="仿宋_GB2312"/>
                <w:highlight w:val="none"/>
              </w:rPr>
              <w:t>1</w:t>
            </w:r>
          </w:p>
        </w:tc>
        <w:tc>
          <w:tcPr>
            <w:tcW w:w="3115" w:type="dxa"/>
          </w:tcPr>
          <w:p w14:paraId="6CECB806">
            <w:pPr>
              <w:pStyle w:val="4"/>
              <w:jc w:val="left"/>
              <w:rPr>
                <w:highlight w:val="none"/>
              </w:rPr>
            </w:pPr>
            <w:r>
              <w:rPr>
                <w:rFonts w:ascii="仿宋_GB2312" w:hAnsi="仿宋_GB2312" w:eastAsia="仿宋_GB2312" w:cs="仿宋_GB2312"/>
                <w:highlight w:val="none"/>
              </w:rPr>
              <w:t>情形1</w:t>
            </w:r>
          </w:p>
        </w:tc>
        <w:tc>
          <w:tcPr>
            <w:tcW w:w="4153" w:type="dxa"/>
          </w:tcPr>
          <w:p w14:paraId="32DF49F6">
            <w:pPr>
              <w:pStyle w:val="4"/>
              <w:jc w:val="left"/>
              <w:rPr>
                <w:highlight w:val="none"/>
              </w:rPr>
            </w:pPr>
            <w:r>
              <w:rPr>
                <w:rFonts w:ascii="仿宋_GB2312" w:hAnsi="仿宋_GB2312" w:eastAsia="仿宋_GB2312" w:cs="仿宋_GB2312"/>
                <w:highlight w:val="none"/>
              </w:rPr>
              <w:t>违反招标文件中载明“投标无效”条款的规定；</w:t>
            </w:r>
          </w:p>
        </w:tc>
      </w:tr>
      <w:tr w14:paraId="1F6382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3883CC1D">
            <w:pPr>
              <w:pStyle w:val="4"/>
              <w:jc w:val="left"/>
              <w:rPr>
                <w:highlight w:val="none"/>
              </w:rPr>
            </w:pPr>
            <w:r>
              <w:rPr>
                <w:rFonts w:ascii="仿宋_GB2312" w:hAnsi="仿宋_GB2312" w:eastAsia="仿宋_GB2312" w:cs="仿宋_GB2312"/>
                <w:highlight w:val="none"/>
              </w:rPr>
              <w:t>2</w:t>
            </w:r>
          </w:p>
        </w:tc>
        <w:tc>
          <w:tcPr>
            <w:tcW w:w="3115" w:type="dxa"/>
          </w:tcPr>
          <w:p w14:paraId="709D3808">
            <w:pPr>
              <w:pStyle w:val="4"/>
              <w:jc w:val="left"/>
              <w:rPr>
                <w:highlight w:val="none"/>
              </w:rPr>
            </w:pPr>
            <w:r>
              <w:rPr>
                <w:rFonts w:ascii="仿宋_GB2312" w:hAnsi="仿宋_GB2312" w:eastAsia="仿宋_GB2312" w:cs="仿宋_GB2312"/>
                <w:highlight w:val="none"/>
              </w:rPr>
              <w:t>情形2</w:t>
            </w:r>
          </w:p>
        </w:tc>
        <w:tc>
          <w:tcPr>
            <w:tcW w:w="4153" w:type="dxa"/>
          </w:tcPr>
          <w:p w14:paraId="787FEB33">
            <w:pPr>
              <w:pStyle w:val="4"/>
              <w:jc w:val="left"/>
              <w:rPr>
                <w:highlight w:val="none"/>
              </w:rPr>
            </w:pPr>
            <w:r>
              <w:rPr>
                <w:rFonts w:ascii="仿宋_GB2312" w:hAnsi="仿宋_GB2312" w:eastAsia="仿宋_GB2312" w:cs="仿宋_GB2312"/>
                <w:highlight w:val="none"/>
              </w:rPr>
              <w:t>属于招标文件第三章第10.12条规定的投标无效情形；</w:t>
            </w:r>
          </w:p>
        </w:tc>
      </w:tr>
      <w:tr w14:paraId="28003E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55A2F7FE">
            <w:pPr>
              <w:pStyle w:val="4"/>
              <w:jc w:val="left"/>
              <w:rPr>
                <w:highlight w:val="none"/>
              </w:rPr>
            </w:pPr>
            <w:r>
              <w:rPr>
                <w:rFonts w:ascii="仿宋_GB2312" w:hAnsi="仿宋_GB2312" w:eastAsia="仿宋_GB2312" w:cs="仿宋_GB2312"/>
                <w:highlight w:val="none"/>
              </w:rPr>
              <w:t>3</w:t>
            </w:r>
          </w:p>
        </w:tc>
        <w:tc>
          <w:tcPr>
            <w:tcW w:w="3115" w:type="dxa"/>
          </w:tcPr>
          <w:p w14:paraId="74E34E51">
            <w:pPr>
              <w:pStyle w:val="4"/>
              <w:jc w:val="left"/>
              <w:rPr>
                <w:highlight w:val="none"/>
              </w:rPr>
            </w:pPr>
            <w:r>
              <w:rPr>
                <w:rFonts w:ascii="仿宋_GB2312" w:hAnsi="仿宋_GB2312" w:eastAsia="仿宋_GB2312" w:cs="仿宋_GB2312"/>
                <w:highlight w:val="none"/>
              </w:rPr>
              <w:t>情形3</w:t>
            </w:r>
          </w:p>
        </w:tc>
        <w:tc>
          <w:tcPr>
            <w:tcW w:w="4153" w:type="dxa"/>
          </w:tcPr>
          <w:p w14:paraId="273E2F17">
            <w:pPr>
              <w:pStyle w:val="4"/>
              <w:jc w:val="left"/>
              <w:rPr>
                <w:highlight w:val="none"/>
              </w:rPr>
            </w:pPr>
            <w:r>
              <w:rPr>
                <w:rFonts w:ascii="仿宋_GB2312" w:hAnsi="仿宋_GB2312" w:eastAsia="仿宋_GB2312" w:cs="仿宋_GB2312"/>
                <w:highlight w:val="none"/>
              </w:rPr>
              <w:t>投标文件对招标文件实质性要求的响应存在重大偏离或保留。</w:t>
            </w:r>
          </w:p>
        </w:tc>
      </w:tr>
    </w:tbl>
    <w:p w14:paraId="3B51AB08">
      <w:pPr>
        <w:pStyle w:val="4"/>
        <w:ind w:firstLine="480"/>
        <w:jc w:val="both"/>
        <w:rPr>
          <w:highlight w:val="none"/>
        </w:rPr>
      </w:pPr>
      <w:r>
        <w:rPr>
          <w:rFonts w:ascii="仿宋_GB2312" w:hAnsi="仿宋_GB2312" w:eastAsia="仿宋_GB2312" w:cs="仿宋_GB2312"/>
          <w:highlight w:val="none"/>
        </w:rPr>
        <w:t>②本项目规定的其他情形：</w:t>
      </w:r>
    </w:p>
    <w:p w14:paraId="493ED76B">
      <w:pPr>
        <w:pStyle w:val="4"/>
        <w:jc w:val="left"/>
        <w:rPr>
          <w:highlight w:val="none"/>
        </w:rPr>
      </w:pPr>
      <w:r>
        <w:rPr>
          <w:rFonts w:ascii="仿宋_GB2312" w:hAnsi="仿宋_GB2312" w:eastAsia="仿宋_GB2312" w:cs="仿宋_GB2312"/>
          <w:highlight w:val="none"/>
        </w:rPr>
        <w:t>采购包1：</w:t>
      </w:r>
    </w:p>
    <w:p w14:paraId="634449AD">
      <w:pPr>
        <w:pStyle w:val="4"/>
        <w:jc w:val="left"/>
        <w:rPr>
          <w:highlight w:val="none"/>
        </w:rPr>
      </w:pPr>
      <w:r>
        <w:rPr>
          <w:rFonts w:ascii="仿宋_GB2312" w:hAnsi="仿宋_GB2312" w:eastAsia="仿宋_GB2312" w:cs="仿宋_GB2312"/>
          <w:highlight w:val="none"/>
        </w:rPr>
        <w:t>技术符合性</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45E33D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38CEF6C">
            <w:pPr>
              <w:pStyle w:val="4"/>
              <w:jc w:val="left"/>
              <w:rPr>
                <w:highlight w:val="none"/>
              </w:rPr>
            </w:pPr>
            <w:r>
              <w:rPr>
                <w:rFonts w:ascii="仿宋_GB2312" w:hAnsi="仿宋_GB2312" w:eastAsia="仿宋_GB2312" w:cs="仿宋_GB2312"/>
                <w:highlight w:val="none"/>
              </w:rPr>
              <w:t xml:space="preserve"> 情形</w:t>
            </w:r>
          </w:p>
        </w:tc>
        <w:tc>
          <w:tcPr>
            <w:tcW w:w="4153" w:type="dxa"/>
          </w:tcPr>
          <w:p w14:paraId="5AC5C777">
            <w:pPr>
              <w:pStyle w:val="4"/>
              <w:jc w:val="left"/>
              <w:rPr>
                <w:highlight w:val="none"/>
              </w:rPr>
            </w:pPr>
            <w:r>
              <w:rPr>
                <w:rFonts w:ascii="仿宋_GB2312" w:hAnsi="仿宋_GB2312" w:eastAsia="仿宋_GB2312" w:cs="仿宋_GB2312"/>
                <w:highlight w:val="none"/>
              </w:rPr>
              <w:t xml:space="preserve"> 明细</w:t>
            </w:r>
          </w:p>
        </w:tc>
      </w:tr>
      <w:tr w14:paraId="1FE4D5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34F7C57D">
            <w:pPr>
              <w:pStyle w:val="4"/>
              <w:jc w:val="left"/>
              <w:rPr>
                <w:highlight w:val="none"/>
              </w:rPr>
            </w:pPr>
            <w:r>
              <w:rPr>
                <w:rFonts w:ascii="仿宋_GB2312" w:hAnsi="仿宋_GB2312" w:eastAsia="仿宋_GB2312" w:cs="仿宋_GB2312"/>
                <w:highlight w:val="none"/>
              </w:rPr>
              <w:t>其他情形</w:t>
            </w:r>
          </w:p>
        </w:tc>
        <w:tc>
          <w:tcPr>
            <w:tcW w:w="4153" w:type="dxa"/>
          </w:tcPr>
          <w:p w14:paraId="35E62C64">
            <w:pPr>
              <w:pStyle w:val="4"/>
              <w:jc w:val="left"/>
              <w:rPr>
                <w:highlight w:val="none"/>
              </w:rPr>
            </w:pPr>
            <w:r>
              <w:rPr>
                <w:rFonts w:ascii="仿宋_GB2312" w:hAnsi="仿宋_GB2312" w:eastAsia="仿宋_GB2312" w:cs="仿宋_GB2312"/>
                <w:highlight w:val="none"/>
              </w:rPr>
              <w:t>详见本文件招标内容及要求中“二、技术和服务要求”，其全部条款内容均为“以‘★’标示的内容”，即“均为不允许负偏离的实质性要求”。</w:t>
            </w:r>
          </w:p>
        </w:tc>
      </w:tr>
    </w:tbl>
    <w:p w14:paraId="343B297C">
      <w:pPr>
        <w:pStyle w:val="4"/>
        <w:jc w:val="left"/>
        <w:rPr>
          <w:highlight w:val="none"/>
        </w:rPr>
      </w:pPr>
      <w:r>
        <w:rPr>
          <w:rFonts w:ascii="仿宋_GB2312" w:hAnsi="仿宋_GB2312" w:eastAsia="仿宋_GB2312" w:cs="仿宋_GB2312"/>
          <w:highlight w:val="none"/>
        </w:rPr>
        <w:t>商务符合性</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40819B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51A0B7D">
            <w:pPr>
              <w:pStyle w:val="4"/>
              <w:jc w:val="left"/>
              <w:rPr>
                <w:highlight w:val="none"/>
              </w:rPr>
            </w:pPr>
            <w:r>
              <w:rPr>
                <w:rFonts w:ascii="仿宋_GB2312" w:hAnsi="仿宋_GB2312" w:eastAsia="仿宋_GB2312" w:cs="仿宋_GB2312"/>
                <w:highlight w:val="none"/>
              </w:rPr>
              <w:t xml:space="preserve"> 情形</w:t>
            </w:r>
          </w:p>
        </w:tc>
        <w:tc>
          <w:tcPr>
            <w:tcW w:w="4153" w:type="dxa"/>
          </w:tcPr>
          <w:p w14:paraId="3A960F37">
            <w:pPr>
              <w:pStyle w:val="4"/>
              <w:jc w:val="left"/>
              <w:rPr>
                <w:highlight w:val="none"/>
              </w:rPr>
            </w:pPr>
            <w:r>
              <w:rPr>
                <w:rFonts w:ascii="仿宋_GB2312" w:hAnsi="仿宋_GB2312" w:eastAsia="仿宋_GB2312" w:cs="仿宋_GB2312"/>
                <w:highlight w:val="none"/>
              </w:rPr>
              <w:t xml:space="preserve"> 明细</w:t>
            </w:r>
          </w:p>
        </w:tc>
      </w:tr>
      <w:tr w14:paraId="482172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4D9382DE">
            <w:pPr>
              <w:pStyle w:val="4"/>
              <w:jc w:val="left"/>
              <w:rPr>
                <w:highlight w:val="none"/>
              </w:rPr>
            </w:pPr>
            <w:r>
              <w:rPr>
                <w:rFonts w:ascii="仿宋_GB2312" w:hAnsi="仿宋_GB2312" w:eastAsia="仿宋_GB2312" w:cs="仿宋_GB2312"/>
                <w:highlight w:val="none"/>
              </w:rPr>
              <w:t>其他情形</w:t>
            </w:r>
          </w:p>
        </w:tc>
        <w:tc>
          <w:tcPr>
            <w:tcW w:w="4153" w:type="dxa"/>
          </w:tcPr>
          <w:p w14:paraId="3AC0C7D0">
            <w:pPr>
              <w:pStyle w:val="4"/>
              <w:jc w:val="left"/>
              <w:rPr>
                <w:highlight w:val="none"/>
              </w:rPr>
            </w:pPr>
            <w:r>
              <w:rPr>
                <w:rFonts w:ascii="仿宋_GB2312" w:hAnsi="仿宋_GB2312" w:eastAsia="仿宋_GB2312" w:cs="仿宋_GB2312"/>
                <w:highlight w:val="none"/>
              </w:rPr>
              <w:t>详见本文件招标内容及要求中“三、商务条件”，其全部条款内容均为“以‘★’标示的内容”，即“均为不允许负偏离的实质性要求”。</w:t>
            </w:r>
          </w:p>
        </w:tc>
      </w:tr>
    </w:tbl>
    <w:p w14:paraId="49F7354F">
      <w:pPr>
        <w:pStyle w:val="4"/>
        <w:jc w:val="left"/>
        <w:rPr>
          <w:highlight w:val="none"/>
        </w:rPr>
      </w:pPr>
      <w:r>
        <w:rPr>
          <w:rFonts w:ascii="仿宋_GB2312" w:hAnsi="仿宋_GB2312" w:eastAsia="仿宋_GB2312" w:cs="仿宋_GB2312"/>
          <w:highlight w:val="none"/>
        </w:rPr>
        <w:t>附加符合性：无</w:t>
      </w:r>
    </w:p>
    <w:p w14:paraId="5A640319">
      <w:pPr>
        <w:pStyle w:val="4"/>
        <w:jc w:val="left"/>
        <w:rPr>
          <w:highlight w:val="none"/>
        </w:rPr>
      </w:pPr>
      <w:r>
        <w:rPr>
          <w:rFonts w:ascii="仿宋_GB2312" w:hAnsi="仿宋_GB2312" w:eastAsia="仿宋_GB2312" w:cs="仿宋_GB2312"/>
          <w:highlight w:val="none"/>
        </w:rPr>
        <w:t>价格符合性：无</w:t>
      </w:r>
    </w:p>
    <w:p w14:paraId="2129AED3">
      <w:pPr>
        <w:pStyle w:val="4"/>
        <w:ind w:firstLine="480"/>
        <w:jc w:val="both"/>
        <w:rPr>
          <w:highlight w:val="none"/>
        </w:rPr>
      </w:pPr>
      <w:r>
        <w:rPr>
          <w:rFonts w:ascii="仿宋_GB2312" w:hAnsi="仿宋_GB2312" w:eastAsia="仿宋_GB2312" w:cs="仿宋_GB2312"/>
          <w:highlight w:val="none"/>
        </w:rPr>
        <w:t>6.3澄清有关问题</w:t>
      </w:r>
    </w:p>
    <w:p w14:paraId="6807A0A6">
      <w:pPr>
        <w:pStyle w:val="4"/>
        <w:ind w:firstLine="480"/>
        <w:jc w:val="both"/>
        <w:rPr>
          <w:highlight w:val="none"/>
        </w:rPr>
      </w:pPr>
      <w:r>
        <w:rPr>
          <w:rFonts w:ascii="仿宋_GB2312" w:hAnsi="仿宋_GB2312" w:eastAsia="仿宋_GB2312" w:cs="仿宋_GB2312"/>
          <w:highlight w:val="none"/>
        </w:rPr>
        <w:t>（1）对通过符合性审查的电子投标文件中含义不明确、同类问题表述不一致或有明显文字和计算错误的内容，评标委员会将以书面形式要求投标人作出必要的澄清、说明或补正。</w:t>
      </w:r>
    </w:p>
    <w:p w14:paraId="038FF88C">
      <w:pPr>
        <w:pStyle w:val="4"/>
        <w:ind w:firstLine="480"/>
        <w:jc w:val="both"/>
        <w:rPr>
          <w:highlight w:val="none"/>
        </w:rPr>
      </w:pPr>
      <w:r>
        <w:rPr>
          <w:rFonts w:ascii="仿宋_GB2312" w:hAnsi="仿宋_GB2312" w:eastAsia="仿宋_GB2312" w:cs="仿宋_GB2312"/>
          <w:highlight w:val="none"/>
        </w:rPr>
        <w:t>（2）投标人的澄清、说明或补正应由投标人代表在评标委员会规定的时间内（一般在半个小时左右，具体要求将根据实际情况在澄清通知中约定）以书面形式向评标委员会提交，前述澄清、说明或补正不得超出电子投标文件的范围或改变电子投标文件的实质性内容。若投标人未按照前述规定向评标委员会提交书面澄清、说明或补正，则评标委员会将按照不利于投标人的内容进行认定。</w:t>
      </w:r>
    </w:p>
    <w:p w14:paraId="169184FB">
      <w:pPr>
        <w:pStyle w:val="4"/>
        <w:ind w:firstLine="480"/>
        <w:jc w:val="both"/>
        <w:rPr>
          <w:highlight w:val="none"/>
        </w:rPr>
      </w:pPr>
      <w:r>
        <w:rPr>
          <w:rFonts w:ascii="仿宋_GB2312" w:hAnsi="仿宋_GB2312" w:eastAsia="仿宋_GB2312" w:cs="仿宋_GB2312"/>
          <w:highlight w:val="none"/>
        </w:rPr>
        <w:t>（3）电子投标文件报价出现前后不一致的，除招标文件另有规定外，按照下列规定修正：</w:t>
      </w:r>
    </w:p>
    <w:p w14:paraId="4B65CC79">
      <w:pPr>
        <w:pStyle w:val="4"/>
        <w:ind w:firstLine="480"/>
        <w:jc w:val="both"/>
        <w:rPr>
          <w:highlight w:val="none"/>
        </w:rPr>
      </w:pPr>
      <w:r>
        <w:rPr>
          <w:rFonts w:ascii="仿宋_GB2312" w:hAnsi="仿宋_GB2312" w:eastAsia="仿宋_GB2312" w:cs="仿宋_GB2312"/>
          <w:highlight w:val="none"/>
        </w:rPr>
        <w:t>①开标（报价）一览表内容与电子投标文件中相应内容不一致的，以开标（报价）一览表为准；</w:t>
      </w:r>
    </w:p>
    <w:p w14:paraId="624D83A1">
      <w:pPr>
        <w:pStyle w:val="4"/>
        <w:ind w:firstLine="480"/>
        <w:jc w:val="both"/>
        <w:rPr>
          <w:highlight w:val="none"/>
        </w:rPr>
      </w:pPr>
      <w:r>
        <w:rPr>
          <w:rFonts w:ascii="仿宋_GB2312" w:hAnsi="仿宋_GB2312" w:eastAsia="仿宋_GB2312" w:cs="仿宋_GB2312"/>
          <w:highlight w:val="none"/>
        </w:rPr>
        <w:t>②大写金额和小写金额不一致的，以大写金额为准；</w:t>
      </w:r>
    </w:p>
    <w:p w14:paraId="0B34E910">
      <w:pPr>
        <w:pStyle w:val="4"/>
        <w:ind w:firstLine="480"/>
        <w:jc w:val="both"/>
        <w:rPr>
          <w:highlight w:val="none"/>
        </w:rPr>
      </w:pPr>
      <w:r>
        <w:rPr>
          <w:rFonts w:ascii="仿宋_GB2312" w:hAnsi="仿宋_GB2312" w:eastAsia="仿宋_GB2312" w:cs="仿宋_GB2312"/>
          <w:highlight w:val="none"/>
        </w:rPr>
        <w:t>③单价金额小数点或百分比有明显错位的，以开标（报价）一览表的总价为准，并修改单价；</w:t>
      </w:r>
    </w:p>
    <w:p w14:paraId="51812125">
      <w:pPr>
        <w:pStyle w:val="4"/>
        <w:ind w:firstLine="480"/>
        <w:jc w:val="both"/>
        <w:rPr>
          <w:highlight w:val="none"/>
        </w:rPr>
      </w:pPr>
      <w:r>
        <w:rPr>
          <w:rFonts w:ascii="仿宋_GB2312" w:hAnsi="仿宋_GB2312" w:eastAsia="仿宋_GB2312" w:cs="仿宋_GB2312"/>
          <w:highlight w:val="none"/>
        </w:rPr>
        <w:t>④总价金额与按照单价汇总金额不一致的，以单价金额计算结果为准。</w:t>
      </w:r>
    </w:p>
    <w:p w14:paraId="15C55103">
      <w:pPr>
        <w:pStyle w:val="4"/>
        <w:ind w:firstLine="480"/>
        <w:jc w:val="both"/>
        <w:rPr>
          <w:highlight w:val="none"/>
        </w:rPr>
      </w:pPr>
      <w:r>
        <w:rPr>
          <w:rFonts w:ascii="仿宋_GB2312" w:hAnsi="仿宋_GB2312" w:eastAsia="仿宋_GB2312" w:cs="仿宋_GB2312"/>
          <w:highlight w:val="none"/>
        </w:rPr>
        <w:t>※同时出现两种以上不一致的，按照前款规定的顺序修正。修正后的报价应按照本章第6.3条第（1）、（2）款规定经投标人确认后产生约束力，投标人不确认的，其投标无效。</w:t>
      </w:r>
    </w:p>
    <w:p w14:paraId="62FDE506">
      <w:pPr>
        <w:pStyle w:val="4"/>
        <w:ind w:firstLine="480"/>
        <w:jc w:val="both"/>
        <w:rPr>
          <w:highlight w:val="none"/>
        </w:rPr>
      </w:pPr>
      <w:r>
        <w:rPr>
          <w:rFonts w:ascii="仿宋_GB2312" w:hAnsi="仿宋_GB2312" w:eastAsia="仿宋_GB2312" w:cs="仿宋_GB2312"/>
          <w:highlight w:val="none"/>
        </w:rPr>
        <w:t>（4）关于细微偏差</w:t>
      </w:r>
    </w:p>
    <w:p w14:paraId="5009F984">
      <w:pPr>
        <w:pStyle w:val="4"/>
        <w:ind w:firstLine="480"/>
        <w:jc w:val="both"/>
        <w:rPr>
          <w:highlight w:val="none"/>
        </w:rPr>
      </w:pPr>
      <w:r>
        <w:rPr>
          <w:rFonts w:ascii="仿宋_GB2312" w:hAnsi="仿宋_GB2312" w:eastAsia="仿宋_GB2312" w:cs="仿宋_GB2312"/>
          <w:highlight w:val="none"/>
        </w:rPr>
        <w:t>①细微偏差指电子投标文件实质性响应招标文件要求，但在个别地方存在漏项或提供了不完整的技术信息和数据等情况，并且补正这些遗漏或不完整不会对其他投标人造成不公平的结果。细微偏差不影响电子投标文件的有效性。</w:t>
      </w:r>
    </w:p>
    <w:p w14:paraId="15882BFA">
      <w:pPr>
        <w:pStyle w:val="4"/>
        <w:ind w:firstLine="480"/>
        <w:jc w:val="both"/>
        <w:rPr>
          <w:highlight w:val="none"/>
        </w:rPr>
      </w:pPr>
      <w:r>
        <w:rPr>
          <w:rFonts w:ascii="仿宋_GB2312" w:hAnsi="仿宋_GB2312" w:eastAsia="仿宋_GB2312" w:cs="仿宋_GB2312"/>
          <w:highlight w:val="none"/>
        </w:rPr>
        <w:t>②评标委员会将以书面形式要求存在细微偏差的投标人在评标委员会规定的时间内予以补正。若无法补正，则评标委员会将按照不利于投标人的内容进行认定。</w:t>
      </w:r>
    </w:p>
    <w:p w14:paraId="295EE694">
      <w:pPr>
        <w:pStyle w:val="4"/>
        <w:ind w:firstLine="480"/>
        <w:jc w:val="both"/>
        <w:rPr>
          <w:highlight w:val="none"/>
        </w:rPr>
      </w:pPr>
      <w:r>
        <w:rPr>
          <w:rFonts w:ascii="仿宋_GB2312" w:hAnsi="仿宋_GB2312" w:eastAsia="仿宋_GB2312" w:cs="仿宋_GB2312"/>
          <w:highlight w:val="none"/>
        </w:rPr>
        <w:t>（5）关于投标描述（即电子投标文件中描述的内容）</w:t>
      </w:r>
    </w:p>
    <w:p w14:paraId="4EB41689">
      <w:pPr>
        <w:pStyle w:val="4"/>
        <w:ind w:firstLine="480"/>
        <w:jc w:val="both"/>
        <w:rPr>
          <w:highlight w:val="none"/>
        </w:rPr>
      </w:pPr>
      <w:r>
        <w:rPr>
          <w:rFonts w:ascii="仿宋_GB2312" w:hAnsi="仿宋_GB2312" w:eastAsia="仿宋_GB2312" w:cs="仿宋_GB2312"/>
          <w:highlight w:val="none"/>
        </w:rPr>
        <w:t>①投标描述前后不一致且不涉及证明材料的：按照本章第6.3条第（1）、（2）款规定执行。</w:t>
      </w:r>
    </w:p>
    <w:p w14:paraId="3D9D78C3">
      <w:pPr>
        <w:pStyle w:val="4"/>
        <w:ind w:firstLine="480"/>
        <w:jc w:val="both"/>
        <w:rPr>
          <w:highlight w:val="none"/>
        </w:rPr>
      </w:pPr>
      <w:r>
        <w:rPr>
          <w:rFonts w:ascii="仿宋_GB2312" w:hAnsi="仿宋_GB2312" w:eastAsia="仿宋_GB2312" w:cs="仿宋_GB2312"/>
          <w:highlight w:val="none"/>
        </w:rPr>
        <w:t>②投标描述与证明材料不一致或多份证明材料之间不一致的：</w:t>
      </w:r>
    </w:p>
    <w:p w14:paraId="014E9D2E">
      <w:pPr>
        <w:pStyle w:val="4"/>
        <w:ind w:firstLine="480"/>
        <w:jc w:val="both"/>
        <w:rPr>
          <w:highlight w:val="none"/>
        </w:rPr>
      </w:pPr>
      <w:r>
        <w:rPr>
          <w:rFonts w:ascii="仿宋_GB2312" w:hAnsi="仿宋_GB2312" w:eastAsia="仿宋_GB2312" w:cs="仿宋_GB2312"/>
          <w:highlight w:val="none"/>
        </w:rPr>
        <w:t>a.评标委员会将要求投标人进行书面澄清，并按照不利于投标人的内容进行评标。</w:t>
      </w:r>
    </w:p>
    <w:p w14:paraId="577F62E5">
      <w:pPr>
        <w:pStyle w:val="4"/>
        <w:ind w:firstLine="480"/>
        <w:jc w:val="both"/>
        <w:rPr>
          <w:highlight w:val="none"/>
        </w:rPr>
      </w:pPr>
      <w:r>
        <w:rPr>
          <w:rFonts w:ascii="仿宋_GB2312" w:hAnsi="仿宋_GB2312" w:eastAsia="仿宋_GB2312" w:cs="仿宋_GB2312"/>
          <w:highlight w:val="none"/>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14:paraId="70E8FADA">
      <w:pPr>
        <w:pStyle w:val="4"/>
        <w:ind w:firstLine="480"/>
        <w:jc w:val="both"/>
        <w:rPr>
          <w:highlight w:val="none"/>
        </w:rPr>
      </w:pPr>
      <w:r>
        <w:rPr>
          <w:rFonts w:ascii="仿宋_GB2312" w:hAnsi="仿宋_GB2312" w:eastAsia="仿宋_GB2312" w:cs="仿宋_GB2312"/>
          <w:highlight w:val="none"/>
        </w:rPr>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14:paraId="07EB19EE">
      <w:pPr>
        <w:pStyle w:val="4"/>
        <w:ind w:firstLine="480"/>
        <w:jc w:val="both"/>
        <w:rPr>
          <w:highlight w:val="none"/>
        </w:rPr>
      </w:pPr>
      <w:r>
        <w:rPr>
          <w:rFonts w:ascii="仿宋_GB2312" w:hAnsi="仿宋_GB2312" w:eastAsia="仿宋_GB2312" w:cs="仿宋_GB2312"/>
          <w:highlight w:val="none"/>
        </w:rPr>
        <w:t>6.4比较与评价</w:t>
      </w:r>
    </w:p>
    <w:p w14:paraId="4FAF08A1">
      <w:pPr>
        <w:pStyle w:val="4"/>
        <w:ind w:firstLine="480"/>
        <w:jc w:val="both"/>
        <w:rPr>
          <w:highlight w:val="none"/>
        </w:rPr>
      </w:pPr>
      <w:r>
        <w:rPr>
          <w:rFonts w:ascii="仿宋_GB2312" w:hAnsi="仿宋_GB2312" w:eastAsia="仿宋_GB2312" w:cs="仿宋_GB2312"/>
          <w:highlight w:val="none"/>
        </w:rPr>
        <w:t>（1）按照本章第7条载明的评标方法和标准，对符合性审查合格的电子投标文件进行比较与评价。</w:t>
      </w:r>
    </w:p>
    <w:p w14:paraId="63BFF459">
      <w:pPr>
        <w:pStyle w:val="4"/>
        <w:ind w:firstLine="480"/>
        <w:jc w:val="both"/>
        <w:rPr>
          <w:highlight w:val="none"/>
        </w:rPr>
      </w:pPr>
      <w:r>
        <w:rPr>
          <w:rFonts w:ascii="仿宋_GB2312" w:hAnsi="仿宋_GB2312" w:eastAsia="仿宋_GB2312" w:cs="仿宋_GB2312"/>
          <w:highlight w:val="none"/>
        </w:rPr>
        <w:t>（2）关于相同品牌产品（政府采购服务类项目不适用本条款规定）</w:t>
      </w:r>
    </w:p>
    <w:p w14:paraId="64C3E2BD">
      <w:pPr>
        <w:pStyle w:val="4"/>
        <w:ind w:firstLine="480"/>
        <w:jc w:val="both"/>
        <w:rPr>
          <w:highlight w:val="none"/>
        </w:rPr>
      </w:pPr>
      <w:r>
        <w:rPr>
          <w:rFonts w:ascii="仿宋_GB2312" w:hAnsi="仿宋_GB2312" w:eastAsia="仿宋_GB2312" w:cs="仿宋_GB2312"/>
          <w:highlight w:val="none"/>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14:paraId="65B6D5C3">
      <w:pPr>
        <w:pStyle w:val="4"/>
        <w:ind w:firstLine="480"/>
        <w:jc w:val="both"/>
        <w:rPr>
          <w:highlight w:val="none"/>
        </w:rPr>
      </w:pPr>
      <w:r>
        <w:rPr>
          <w:rFonts w:ascii="仿宋_GB2312" w:hAnsi="仿宋_GB2312" w:eastAsia="仿宋_GB2312" w:cs="仿宋_GB2312"/>
          <w:highlight w:val="none"/>
        </w:rPr>
        <w:t>a.招标文件规定的方式：</w:t>
      </w:r>
    </w:p>
    <w:p w14:paraId="128D7250">
      <w:pPr>
        <w:pStyle w:val="4"/>
        <w:ind w:firstLine="480"/>
        <w:jc w:val="both"/>
        <w:rPr>
          <w:highlight w:val="none"/>
        </w:rPr>
      </w:pPr>
      <w:r>
        <w:rPr>
          <w:rFonts w:ascii="仿宋_GB2312" w:hAnsi="仿宋_GB2312" w:eastAsia="仿宋_GB2312" w:cs="仿宋_GB2312"/>
          <w:highlight w:val="none"/>
        </w:rPr>
        <w:t>无</w:t>
      </w:r>
    </w:p>
    <w:p w14:paraId="247052D2">
      <w:pPr>
        <w:pStyle w:val="4"/>
        <w:ind w:firstLine="480"/>
        <w:jc w:val="both"/>
        <w:rPr>
          <w:highlight w:val="none"/>
        </w:rPr>
      </w:pPr>
      <w:r>
        <w:rPr>
          <w:rFonts w:ascii="仿宋_GB2312" w:hAnsi="仿宋_GB2312" w:eastAsia="仿宋_GB2312" w:cs="仿宋_GB2312"/>
          <w:highlight w:val="none"/>
        </w:rPr>
        <w:t>b.招标文件未规定的，采取随机抽取方式确定，其他投标无效。</w:t>
      </w:r>
    </w:p>
    <w:p w14:paraId="7C6EA4E2">
      <w:pPr>
        <w:pStyle w:val="4"/>
        <w:ind w:firstLine="480"/>
        <w:jc w:val="both"/>
        <w:rPr>
          <w:highlight w:val="none"/>
        </w:rPr>
      </w:pPr>
      <w:r>
        <w:rPr>
          <w:rFonts w:ascii="仿宋_GB2312" w:hAnsi="仿宋_GB2312" w:eastAsia="仿宋_GB2312" w:cs="仿宋_GB2312"/>
          <w:highlight w:val="none"/>
        </w:rP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14:paraId="3A81617A">
      <w:pPr>
        <w:pStyle w:val="4"/>
        <w:ind w:firstLine="480"/>
        <w:jc w:val="both"/>
        <w:rPr>
          <w:highlight w:val="none"/>
        </w:rPr>
      </w:pPr>
      <w:r>
        <w:rPr>
          <w:rFonts w:ascii="仿宋_GB2312" w:hAnsi="仿宋_GB2312" w:eastAsia="仿宋_GB2312" w:cs="仿宋_GB2312"/>
          <w:highlight w:val="none"/>
        </w:rPr>
        <w:t>a.招标文件规定的方式：</w:t>
      </w:r>
    </w:p>
    <w:p w14:paraId="2DBA8C7A">
      <w:pPr>
        <w:pStyle w:val="4"/>
        <w:ind w:firstLine="480"/>
        <w:jc w:val="both"/>
        <w:rPr>
          <w:highlight w:val="none"/>
        </w:rPr>
      </w:pPr>
      <w:r>
        <w:rPr>
          <w:rFonts w:ascii="仿宋_GB2312" w:hAnsi="仿宋_GB2312" w:eastAsia="仿宋_GB2312" w:cs="仿宋_GB2312"/>
          <w:highlight w:val="none"/>
        </w:rPr>
        <w:t>无</w:t>
      </w:r>
    </w:p>
    <w:p w14:paraId="7819DA86">
      <w:pPr>
        <w:pStyle w:val="4"/>
        <w:ind w:firstLine="480"/>
        <w:jc w:val="both"/>
        <w:rPr>
          <w:highlight w:val="none"/>
        </w:rPr>
      </w:pPr>
      <w:r>
        <w:rPr>
          <w:rFonts w:ascii="仿宋_GB2312" w:hAnsi="仿宋_GB2312" w:eastAsia="仿宋_GB2312" w:cs="仿宋_GB2312"/>
          <w:highlight w:val="none"/>
        </w:rPr>
        <w:t>b.招标文件未规定的，采取随机抽取方式确定，其他同品牌投标人不作为中标候选人。</w:t>
      </w:r>
    </w:p>
    <w:p w14:paraId="6555DD4D">
      <w:pPr>
        <w:pStyle w:val="4"/>
        <w:ind w:firstLine="480"/>
        <w:jc w:val="both"/>
        <w:rPr>
          <w:highlight w:val="none"/>
        </w:rPr>
      </w:pPr>
      <w:r>
        <w:rPr>
          <w:rFonts w:ascii="仿宋_GB2312" w:hAnsi="仿宋_GB2312" w:eastAsia="仿宋_GB2312" w:cs="仿宋_GB2312"/>
          <w:highlight w:val="none"/>
        </w:rPr>
        <w:t>③非单一产品采购项目，多家投标人提供的核心产品品牌相同的，按照本章第6.4条第（2）款第①、②规定处理。</w:t>
      </w:r>
    </w:p>
    <w:p w14:paraId="4D0C31CC">
      <w:pPr>
        <w:pStyle w:val="4"/>
        <w:ind w:firstLine="480"/>
        <w:jc w:val="both"/>
        <w:rPr>
          <w:highlight w:val="none"/>
        </w:rPr>
      </w:pPr>
      <w:r>
        <w:rPr>
          <w:rFonts w:ascii="仿宋_GB2312" w:hAnsi="仿宋_GB2312" w:eastAsia="仿宋_GB2312" w:cs="仿宋_GB2312"/>
          <w:highlight w:val="none"/>
        </w:rPr>
        <w:t>（3）漏（缺）项</w:t>
      </w:r>
    </w:p>
    <w:p w14:paraId="124F5DCD">
      <w:pPr>
        <w:pStyle w:val="4"/>
        <w:ind w:firstLine="480"/>
        <w:jc w:val="both"/>
        <w:rPr>
          <w:highlight w:val="none"/>
        </w:rPr>
      </w:pPr>
      <w:r>
        <w:rPr>
          <w:rFonts w:ascii="仿宋_GB2312" w:hAnsi="仿宋_GB2312" w:eastAsia="仿宋_GB2312" w:cs="仿宋_GB2312"/>
          <w:highlight w:val="none"/>
        </w:rPr>
        <w:t>①招标文件中要求列入报价的费用（含配置、功能），漏（缺）项的报价视为已经包括在投标总价中。</w:t>
      </w:r>
    </w:p>
    <w:p w14:paraId="55E58544">
      <w:pPr>
        <w:pStyle w:val="4"/>
        <w:ind w:firstLine="480"/>
        <w:jc w:val="both"/>
        <w:rPr>
          <w:highlight w:val="none"/>
        </w:rPr>
      </w:pPr>
      <w:r>
        <w:rPr>
          <w:rFonts w:ascii="仿宋_GB2312" w:hAnsi="仿宋_GB2312" w:eastAsia="仿宋_GB2312" w:cs="仿宋_GB2312"/>
          <w:highlight w:val="none"/>
        </w:rPr>
        <w:t>②对多报项及赠送项的价格评标时不予核减，全部进入评标价评议。</w:t>
      </w:r>
    </w:p>
    <w:p w14:paraId="14BF0AF7">
      <w:pPr>
        <w:pStyle w:val="4"/>
        <w:ind w:firstLine="480"/>
        <w:jc w:val="both"/>
        <w:rPr>
          <w:highlight w:val="none"/>
        </w:rPr>
      </w:pPr>
      <w:r>
        <w:rPr>
          <w:rFonts w:ascii="仿宋_GB2312" w:hAnsi="仿宋_GB2312" w:eastAsia="仿宋_GB2312" w:cs="仿宋_GB2312"/>
          <w:highlight w:val="none"/>
        </w:rPr>
        <w:t>6.5推荐中标候选人：详见本章第7.2条规定。</w:t>
      </w:r>
    </w:p>
    <w:p w14:paraId="13D32A1A">
      <w:pPr>
        <w:pStyle w:val="4"/>
        <w:ind w:firstLine="480"/>
        <w:jc w:val="both"/>
        <w:rPr>
          <w:highlight w:val="none"/>
        </w:rPr>
      </w:pPr>
      <w:r>
        <w:rPr>
          <w:rFonts w:ascii="仿宋_GB2312" w:hAnsi="仿宋_GB2312" w:eastAsia="仿宋_GB2312" w:cs="仿宋_GB2312"/>
          <w:highlight w:val="none"/>
        </w:rPr>
        <w:t>6.6编写评标报告</w:t>
      </w:r>
    </w:p>
    <w:p w14:paraId="2D20AF14">
      <w:pPr>
        <w:pStyle w:val="4"/>
        <w:ind w:firstLine="480"/>
        <w:jc w:val="both"/>
        <w:rPr>
          <w:highlight w:val="none"/>
        </w:rPr>
      </w:pPr>
      <w:r>
        <w:rPr>
          <w:rFonts w:ascii="仿宋_GB2312" w:hAnsi="仿宋_GB2312" w:eastAsia="仿宋_GB2312" w:cs="仿宋_GB2312"/>
          <w:highlight w:val="none"/>
        </w:rPr>
        <w:t>（1）评标报告由评标委员会负责编写。</w:t>
      </w:r>
    </w:p>
    <w:p w14:paraId="3A1147AD">
      <w:pPr>
        <w:pStyle w:val="4"/>
        <w:ind w:firstLine="480"/>
        <w:jc w:val="both"/>
        <w:rPr>
          <w:highlight w:val="none"/>
        </w:rPr>
      </w:pPr>
      <w:r>
        <w:rPr>
          <w:rFonts w:ascii="仿宋_GB2312" w:hAnsi="仿宋_GB2312" w:eastAsia="仿宋_GB2312" w:cs="仿宋_GB2312"/>
          <w:highlight w:val="none"/>
        </w:rPr>
        <w:t>（2）评标报告应包括下列内容：</w:t>
      </w:r>
    </w:p>
    <w:p w14:paraId="031D4329">
      <w:pPr>
        <w:pStyle w:val="4"/>
        <w:ind w:firstLine="480"/>
        <w:jc w:val="both"/>
        <w:rPr>
          <w:highlight w:val="none"/>
        </w:rPr>
      </w:pPr>
      <w:r>
        <w:rPr>
          <w:rFonts w:ascii="仿宋_GB2312" w:hAnsi="仿宋_GB2312" w:eastAsia="仿宋_GB2312" w:cs="仿宋_GB2312"/>
          <w:highlight w:val="none"/>
        </w:rPr>
        <w:t>①招标公告刊登的媒体名称、开标日期和地点；</w:t>
      </w:r>
    </w:p>
    <w:p w14:paraId="1566AF9A">
      <w:pPr>
        <w:pStyle w:val="4"/>
        <w:ind w:firstLine="480"/>
        <w:jc w:val="both"/>
        <w:rPr>
          <w:highlight w:val="none"/>
        </w:rPr>
      </w:pPr>
      <w:r>
        <w:rPr>
          <w:rFonts w:ascii="仿宋_GB2312" w:hAnsi="仿宋_GB2312" w:eastAsia="仿宋_GB2312" w:cs="仿宋_GB2312"/>
          <w:highlight w:val="none"/>
        </w:rPr>
        <w:t>②投标人名单和评标委员会成员名单；</w:t>
      </w:r>
    </w:p>
    <w:p w14:paraId="2439A9E8">
      <w:pPr>
        <w:pStyle w:val="4"/>
        <w:ind w:firstLine="480"/>
        <w:jc w:val="both"/>
        <w:rPr>
          <w:highlight w:val="none"/>
        </w:rPr>
      </w:pPr>
      <w:r>
        <w:rPr>
          <w:rFonts w:ascii="仿宋_GB2312" w:hAnsi="仿宋_GB2312" w:eastAsia="仿宋_GB2312" w:cs="仿宋_GB2312"/>
          <w:highlight w:val="none"/>
        </w:rPr>
        <w:t>③评标方法和标准；</w:t>
      </w:r>
    </w:p>
    <w:p w14:paraId="5C36DF16">
      <w:pPr>
        <w:pStyle w:val="4"/>
        <w:ind w:firstLine="480"/>
        <w:jc w:val="both"/>
        <w:rPr>
          <w:highlight w:val="none"/>
        </w:rPr>
      </w:pPr>
      <w:r>
        <w:rPr>
          <w:rFonts w:ascii="仿宋_GB2312" w:hAnsi="仿宋_GB2312" w:eastAsia="仿宋_GB2312" w:cs="仿宋_GB2312"/>
          <w:highlight w:val="none"/>
        </w:rPr>
        <w:t>④开标记录和评标情况及说明，包括无效投标人名单及原因；</w:t>
      </w:r>
    </w:p>
    <w:p w14:paraId="182B724F">
      <w:pPr>
        <w:pStyle w:val="4"/>
        <w:ind w:firstLine="480"/>
        <w:jc w:val="both"/>
        <w:rPr>
          <w:highlight w:val="none"/>
        </w:rPr>
      </w:pPr>
      <w:r>
        <w:rPr>
          <w:rFonts w:ascii="仿宋_GB2312" w:hAnsi="仿宋_GB2312" w:eastAsia="仿宋_GB2312" w:cs="仿宋_GB2312"/>
          <w:highlight w:val="none"/>
        </w:rPr>
        <w:t>⑤评标结果，包括中标候选人名单或确定的中标人；</w:t>
      </w:r>
    </w:p>
    <w:p w14:paraId="24B350F3">
      <w:pPr>
        <w:pStyle w:val="4"/>
        <w:ind w:firstLine="480"/>
        <w:jc w:val="both"/>
        <w:rPr>
          <w:highlight w:val="none"/>
        </w:rPr>
      </w:pPr>
      <w:r>
        <w:rPr>
          <w:rFonts w:ascii="仿宋_GB2312" w:hAnsi="仿宋_GB2312" w:eastAsia="仿宋_GB2312" w:cs="仿宋_GB2312"/>
          <w:highlight w:val="none"/>
        </w:rPr>
        <w:t>⑥其他需要说明的情况，包括但不限于：评标过程中投标人的澄清、说明或补正，评委更换等。</w:t>
      </w:r>
    </w:p>
    <w:p w14:paraId="111FDCBC">
      <w:pPr>
        <w:pStyle w:val="4"/>
        <w:ind w:firstLine="480"/>
        <w:jc w:val="both"/>
        <w:rPr>
          <w:highlight w:val="none"/>
        </w:rPr>
      </w:pPr>
      <w:r>
        <w:rPr>
          <w:rFonts w:ascii="仿宋_GB2312" w:hAnsi="仿宋_GB2312" w:eastAsia="仿宋_GB2312" w:cs="仿宋_GB2312"/>
          <w:highlight w:val="none"/>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投标无效处理。</w:t>
      </w:r>
    </w:p>
    <w:p w14:paraId="5A1F04C0">
      <w:pPr>
        <w:pStyle w:val="4"/>
        <w:ind w:firstLine="480"/>
        <w:jc w:val="both"/>
        <w:rPr>
          <w:highlight w:val="none"/>
        </w:rPr>
      </w:pPr>
      <w:r>
        <w:rPr>
          <w:rFonts w:ascii="仿宋_GB2312" w:hAnsi="仿宋_GB2312" w:eastAsia="仿宋_GB2312" w:cs="仿宋_GB2312"/>
          <w:highlight w:val="none"/>
        </w:rPr>
        <w:t>6.8评委对需要共同认定的事项存在争议的，应按照少数服从多数的原则进行认定。持不同意见的评委应在评标报告上签署不同意见及理由，否则视为同意评标报告。</w:t>
      </w:r>
    </w:p>
    <w:p w14:paraId="5EA6A5BD">
      <w:pPr>
        <w:pStyle w:val="4"/>
        <w:ind w:firstLine="480"/>
        <w:jc w:val="both"/>
        <w:rPr>
          <w:highlight w:val="none"/>
        </w:rPr>
      </w:pPr>
      <w:r>
        <w:rPr>
          <w:rFonts w:ascii="仿宋_GB2312" w:hAnsi="仿宋_GB2312" w:eastAsia="仿宋_GB2312" w:cs="仿宋_GB2312"/>
          <w:highlight w:val="none"/>
        </w:rPr>
        <w:t>6.9在评标过程中发现投标人有下列情形之一的，评标委员会应认定其投标无效，并书面报告本项目监督管理部门：</w:t>
      </w:r>
    </w:p>
    <w:p w14:paraId="7CC0758D">
      <w:pPr>
        <w:pStyle w:val="4"/>
        <w:ind w:firstLine="480"/>
        <w:jc w:val="both"/>
        <w:rPr>
          <w:highlight w:val="none"/>
        </w:rPr>
      </w:pPr>
      <w:r>
        <w:rPr>
          <w:rFonts w:ascii="仿宋_GB2312" w:hAnsi="仿宋_GB2312" w:eastAsia="仿宋_GB2312" w:cs="仿宋_GB2312"/>
          <w:highlight w:val="none"/>
        </w:rPr>
        <w:t>（1）恶意串通（包括但不限于招标文件第三章第9.7条规定情形）；</w:t>
      </w:r>
    </w:p>
    <w:p w14:paraId="7C821FB2">
      <w:pPr>
        <w:pStyle w:val="4"/>
        <w:ind w:firstLine="480"/>
        <w:jc w:val="both"/>
        <w:rPr>
          <w:highlight w:val="none"/>
        </w:rPr>
      </w:pPr>
      <w:r>
        <w:rPr>
          <w:rFonts w:ascii="仿宋_GB2312" w:hAnsi="仿宋_GB2312" w:eastAsia="仿宋_GB2312" w:cs="仿宋_GB2312"/>
          <w:highlight w:val="none"/>
        </w:rPr>
        <w:t>（2）妨碍其他投标人的竞争行为；</w:t>
      </w:r>
    </w:p>
    <w:p w14:paraId="7825AB0F">
      <w:pPr>
        <w:pStyle w:val="4"/>
        <w:ind w:firstLine="480"/>
        <w:jc w:val="both"/>
        <w:rPr>
          <w:highlight w:val="none"/>
        </w:rPr>
      </w:pPr>
      <w:r>
        <w:rPr>
          <w:rFonts w:ascii="仿宋_GB2312" w:hAnsi="仿宋_GB2312" w:eastAsia="仿宋_GB2312" w:cs="仿宋_GB2312"/>
          <w:highlight w:val="none"/>
        </w:rPr>
        <w:t>（3）损害采购人或其他投标人的合法权益。</w:t>
      </w:r>
    </w:p>
    <w:p w14:paraId="67E962E3">
      <w:pPr>
        <w:pStyle w:val="4"/>
        <w:ind w:firstLine="480"/>
        <w:jc w:val="both"/>
        <w:rPr>
          <w:highlight w:val="none"/>
        </w:rPr>
      </w:pPr>
      <w:r>
        <w:rPr>
          <w:rFonts w:ascii="仿宋_GB2312" w:hAnsi="仿宋_GB2312" w:eastAsia="仿宋_GB2312" w:cs="仿宋_GB2312"/>
          <w:highlight w:val="none"/>
        </w:rPr>
        <w:t>6.10评标过程中，有下列情形之一的，应予废标：</w:t>
      </w:r>
    </w:p>
    <w:p w14:paraId="0CB5091E">
      <w:pPr>
        <w:pStyle w:val="4"/>
        <w:ind w:firstLine="480"/>
        <w:jc w:val="both"/>
        <w:rPr>
          <w:highlight w:val="none"/>
        </w:rPr>
      </w:pPr>
      <w:r>
        <w:rPr>
          <w:rFonts w:ascii="仿宋_GB2312" w:hAnsi="仿宋_GB2312" w:eastAsia="仿宋_GB2312" w:cs="仿宋_GB2312"/>
          <w:highlight w:val="none"/>
        </w:rPr>
        <w:t>（1）符合性审查合格的投标人不足三家的；</w:t>
      </w:r>
    </w:p>
    <w:p w14:paraId="525AEE67">
      <w:pPr>
        <w:pStyle w:val="4"/>
        <w:ind w:firstLine="480"/>
        <w:jc w:val="both"/>
        <w:rPr>
          <w:highlight w:val="none"/>
        </w:rPr>
      </w:pPr>
      <w:r>
        <w:rPr>
          <w:rFonts w:ascii="仿宋_GB2312" w:hAnsi="仿宋_GB2312" w:eastAsia="仿宋_GB2312" w:cs="仿宋_GB2312"/>
          <w:highlight w:val="none"/>
        </w:rPr>
        <w:t>（2）有关法律、法规和规章规定废标的情形。</w:t>
      </w:r>
    </w:p>
    <w:p w14:paraId="2F759270">
      <w:pPr>
        <w:pStyle w:val="4"/>
        <w:ind w:firstLine="480"/>
        <w:jc w:val="both"/>
        <w:rPr>
          <w:highlight w:val="none"/>
        </w:rPr>
      </w:pPr>
      <w:r>
        <w:rPr>
          <w:rFonts w:ascii="仿宋_GB2312" w:hAnsi="仿宋_GB2312" w:eastAsia="仿宋_GB2312" w:cs="仿宋_GB2312"/>
          <w:highlight w:val="none"/>
        </w:rPr>
        <w:t>※若废标，则本次采购活动结束， 福建省公共资源交易中心 将依法组织后续采购活动（包括但不限于：重新招标、采用其他方式采购等）。</w:t>
      </w:r>
    </w:p>
    <w:p w14:paraId="117EB780">
      <w:pPr>
        <w:pStyle w:val="4"/>
        <w:ind w:firstLine="480"/>
        <w:jc w:val="both"/>
        <w:rPr>
          <w:highlight w:val="none"/>
        </w:rPr>
      </w:pPr>
      <w:r>
        <w:rPr>
          <w:rFonts w:ascii="仿宋_GB2312" w:hAnsi="仿宋_GB2312" w:eastAsia="仿宋_GB2312" w:cs="仿宋_GB2312"/>
          <w:highlight w:val="none"/>
        </w:rPr>
        <w:t>7、评标方法和标准</w:t>
      </w:r>
    </w:p>
    <w:p w14:paraId="278C5C9E">
      <w:pPr>
        <w:pStyle w:val="4"/>
        <w:ind w:firstLine="480"/>
        <w:jc w:val="both"/>
        <w:rPr>
          <w:highlight w:val="none"/>
        </w:rPr>
      </w:pPr>
      <w:r>
        <w:rPr>
          <w:rFonts w:ascii="仿宋_GB2312" w:hAnsi="仿宋_GB2312" w:eastAsia="仿宋_GB2312" w:cs="仿宋_GB2312"/>
          <w:highlight w:val="none"/>
        </w:rPr>
        <w:t>7.1评标方法：</w:t>
      </w:r>
    </w:p>
    <w:p w14:paraId="229436D4">
      <w:pPr>
        <w:pStyle w:val="4"/>
        <w:ind w:firstLine="480"/>
        <w:jc w:val="both"/>
        <w:rPr>
          <w:highlight w:val="none"/>
        </w:rPr>
      </w:pPr>
      <w:r>
        <w:rPr>
          <w:rFonts w:ascii="仿宋_GB2312" w:hAnsi="仿宋_GB2312" w:eastAsia="仿宋_GB2312" w:cs="仿宋_GB2312"/>
          <w:highlight w:val="none"/>
        </w:rPr>
        <w:t>采购包1：综合评分法</w:t>
      </w:r>
    </w:p>
    <w:p w14:paraId="6BC18AAE">
      <w:pPr>
        <w:pStyle w:val="4"/>
        <w:ind w:firstLine="480"/>
        <w:jc w:val="both"/>
        <w:rPr>
          <w:highlight w:val="none"/>
        </w:rPr>
      </w:pPr>
      <w:r>
        <w:rPr>
          <w:rFonts w:ascii="仿宋_GB2312" w:hAnsi="仿宋_GB2312" w:eastAsia="仿宋_GB2312" w:cs="仿宋_GB2312"/>
          <w:highlight w:val="none"/>
        </w:rPr>
        <w:t>7.2评标标准</w:t>
      </w:r>
    </w:p>
    <w:p w14:paraId="532530B8">
      <w:pPr>
        <w:pStyle w:val="4"/>
        <w:ind w:firstLine="480"/>
        <w:jc w:val="both"/>
        <w:rPr>
          <w:highlight w:val="none"/>
        </w:rPr>
      </w:pPr>
      <w:r>
        <w:rPr>
          <w:rFonts w:ascii="仿宋_GB2312" w:hAnsi="仿宋_GB2312" w:eastAsia="仿宋_GB2312" w:cs="仿宋_GB2312"/>
          <w:highlight w:val="none"/>
        </w:rPr>
        <w:t>采购包1：综合评分法</w:t>
      </w:r>
    </w:p>
    <w:p w14:paraId="5C4B5E80">
      <w:pPr>
        <w:pStyle w:val="4"/>
        <w:jc w:val="both"/>
        <w:rPr>
          <w:highlight w:val="none"/>
        </w:rPr>
      </w:pPr>
      <w:r>
        <w:rPr>
          <w:rFonts w:ascii="仿宋_GB2312" w:hAnsi="仿宋_GB2312" w:eastAsia="仿宋_GB2312" w:cs="仿宋_GB2312"/>
          <w:highlight w:val="none"/>
        </w:rPr>
        <w:t>（1）投标文件满足招标文件全部实质性要求，且按照评审因素的量化指标评审得分（即评标总得分）最高的投标人为中标候选人。</w:t>
      </w:r>
    </w:p>
    <w:p w14:paraId="07D6664D">
      <w:pPr>
        <w:pStyle w:val="4"/>
        <w:jc w:val="both"/>
        <w:rPr>
          <w:highlight w:val="none"/>
        </w:rPr>
      </w:pPr>
      <w:r>
        <w:rPr>
          <w:rFonts w:ascii="仿宋_GB2312" w:hAnsi="仿宋_GB2312" w:eastAsia="仿宋_GB2312" w:cs="仿宋_GB2312"/>
          <w:highlight w:val="none"/>
        </w:rPr>
        <w:t>（2）每个投标人的评标总得分FA＝F1×A1＋F2×A2＋F3×A3 ，其中：F1指价格项评审因素得分、F2指技术项评审因素得分、F3指商务项评审因素得分，A1指价格项评审因素所占的权重、A2指技术项评审因素所占的权重、A3指商务项评审因素所占的权重，A1+A2+A3=1、F1×A1＋F2×A2＋F3×A3=100分（满分时） 。</w:t>
      </w:r>
    </w:p>
    <w:p w14:paraId="75FFE052">
      <w:pPr>
        <w:pStyle w:val="4"/>
        <w:jc w:val="both"/>
        <w:rPr>
          <w:highlight w:val="none"/>
        </w:rPr>
      </w:pPr>
      <w:r>
        <w:rPr>
          <w:rFonts w:ascii="仿宋_GB2312" w:hAnsi="仿宋_GB2312" w:eastAsia="仿宋_GB2312" w:cs="仿宋_GB2312"/>
          <w:highlight w:val="none"/>
        </w:rPr>
        <w:t>各项评审因素的设置如下：</w:t>
      </w:r>
    </w:p>
    <w:p w14:paraId="5A909054">
      <w:pPr>
        <w:pStyle w:val="4"/>
        <w:jc w:val="both"/>
        <w:rPr>
          <w:highlight w:val="none"/>
        </w:rPr>
      </w:pPr>
      <w:r>
        <w:rPr>
          <w:rFonts w:ascii="仿宋_GB2312" w:hAnsi="仿宋_GB2312" w:eastAsia="仿宋_GB2312" w:cs="仿宋_GB2312"/>
          <w:highlight w:val="none"/>
        </w:rPr>
        <w:t>价格项（F1×A1）满分为10.0000分</w:t>
      </w:r>
    </w:p>
    <w:p w14:paraId="0AE90ED1">
      <w:pPr>
        <w:pStyle w:val="4"/>
        <w:jc w:val="both"/>
        <w:rPr>
          <w:highlight w:val="none"/>
        </w:rPr>
      </w:pPr>
      <w:r>
        <w:rPr>
          <w:rFonts w:ascii="仿宋_GB2312" w:hAnsi="仿宋_GB2312" w:eastAsia="仿宋_GB2312" w:cs="仿宋_GB2312"/>
          <w:highlight w:val="none"/>
        </w:rPr>
        <w:t>F1指价格项评审因素得分＝（评标基准价/投标报价）×100×价格项评审因素所占的权重（注：满足招标文件要求且投标价格最低的投标报价为评标基准价。）最低报价不是中标的唯一依据。因落实政府采购政策进行价格调整的，以调整后的价格计算评标基准价和投标报价。</w:t>
      </w:r>
    </w:p>
    <w:p w14:paraId="0756AF76">
      <w:pPr>
        <w:pStyle w:val="4"/>
        <w:jc w:val="both"/>
        <w:rPr>
          <w:highlight w:val="none"/>
        </w:rPr>
      </w:pPr>
      <w:r>
        <w:rPr>
          <w:rFonts w:ascii="仿宋_GB2312" w:hAnsi="仿宋_GB2312" w:eastAsia="仿宋_GB2312" w:cs="仿宋_GB2312"/>
          <w:highlight w:val="none"/>
        </w:rPr>
        <w:t>价格扣除的规则如下：</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831"/>
        <w:gridCol w:w="4153"/>
      </w:tblGrid>
      <w:tr w14:paraId="4D0D7C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05507E42">
            <w:pPr>
              <w:pStyle w:val="4"/>
              <w:jc w:val="both"/>
              <w:rPr>
                <w:highlight w:val="none"/>
              </w:rPr>
            </w:pPr>
            <w:r>
              <w:rPr>
                <w:rFonts w:ascii="仿宋_GB2312" w:hAnsi="仿宋_GB2312" w:eastAsia="仿宋_GB2312" w:cs="仿宋_GB2312"/>
                <w:highlight w:val="none"/>
              </w:rPr>
              <w:t xml:space="preserve"> 项目</w:t>
            </w:r>
          </w:p>
        </w:tc>
        <w:tc>
          <w:tcPr>
            <w:tcW w:w="1661" w:type="dxa"/>
          </w:tcPr>
          <w:p w14:paraId="0639563B">
            <w:pPr>
              <w:pStyle w:val="4"/>
              <w:jc w:val="both"/>
              <w:rPr>
                <w:highlight w:val="none"/>
              </w:rPr>
            </w:pPr>
            <w:r>
              <w:rPr>
                <w:rFonts w:ascii="仿宋_GB2312" w:hAnsi="仿宋_GB2312" w:eastAsia="仿宋_GB2312" w:cs="仿宋_GB2312"/>
                <w:highlight w:val="none"/>
              </w:rPr>
              <w:t xml:space="preserve"> 适用对象</w:t>
            </w:r>
          </w:p>
        </w:tc>
        <w:tc>
          <w:tcPr>
            <w:tcW w:w="831" w:type="dxa"/>
          </w:tcPr>
          <w:p w14:paraId="59102417">
            <w:pPr>
              <w:pStyle w:val="4"/>
              <w:jc w:val="both"/>
              <w:rPr>
                <w:highlight w:val="none"/>
              </w:rPr>
            </w:pPr>
            <w:r>
              <w:rPr>
                <w:rFonts w:ascii="仿宋_GB2312" w:hAnsi="仿宋_GB2312" w:eastAsia="仿宋_GB2312" w:cs="仿宋_GB2312"/>
                <w:highlight w:val="none"/>
              </w:rPr>
              <w:t xml:space="preserve"> 比例</w:t>
            </w:r>
          </w:p>
        </w:tc>
        <w:tc>
          <w:tcPr>
            <w:tcW w:w="4153" w:type="dxa"/>
          </w:tcPr>
          <w:p w14:paraId="2720D933">
            <w:pPr>
              <w:pStyle w:val="4"/>
              <w:jc w:val="both"/>
              <w:rPr>
                <w:highlight w:val="none"/>
              </w:rPr>
            </w:pPr>
            <w:r>
              <w:rPr>
                <w:rFonts w:ascii="仿宋_GB2312" w:hAnsi="仿宋_GB2312" w:eastAsia="仿宋_GB2312" w:cs="仿宋_GB2312"/>
                <w:highlight w:val="none"/>
              </w:rPr>
              <w:t xml:space="preserve"> 描述</w:t>
            </w:r>
          </w:p>
        </w:tc>
      </w:tr>
      <w:tr w14:paraId="2CCADE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1A6E2729">
            <w:pPr>
              <w:pStyle w:val="4"/>
              <w:jc w:val="left"/>
              <w:rPr>
                <w:highlight w:val="none"/>
              </w:rPr>
            </w:pPr>
            <w:r>
              <w:rPr>
                <w:rFonts w:ascii="仿宋_GB2312" w:hAnsi="仿宋_GB2312" w:eastAsia="仿宋_GB2312" w:cs="仿宋_GB2312"/>
                <w:highlight w:val="none"/>
              </w:rPr>
              <w:t>小型、微型企业，监狱企业，残疾人福利性单位</w:t>
            </w:r>
          </w:p>
        </w:tc>
        <w:tc>
          <w:tcPr>
            <w:tcW w:w="1661" w:type="dxa"/>
          </w:tcPr>
          <w:p w14:paraId="69EDD93F">
            <w:pPr>
              <w:pStyle w:val="4"/>
              <w:jc w:val="left"/>
              <w:rPr>
                <w:highlight w:val="none"/>
              </w:rPr>
            </w:pPr>
            <w:r>
              <w:rPr>
                <w:rFonts w:ascii="仿宋_GB2312" w:hAnsi="仿宋_GB2312" w:eastAsia="仿宋_GB2312" w:cs="仿宋_GB2312"/>
                <w:highlight w:val="none"/>
              </w:rPr>
              <w:t>投标人或者联合体均为小型、微型企业</w:t>
            </w:r>
          </w:p>
        </w:tc>
        <w:tc>
          <w:tcPr>
            <w:tcW w:w="831" w:type="dxa"/>
          </w:tcPr>
          <w:p w14:paraId="64021CEA">
            <w:pPr>
              <w:pStyle w:val="4"/>
              <w:jc w:val="right"/>
              <w:rPr>
                <w:highlight w:val="none"/>
              </w:rPr>
            </w:pPr>
            <w:r>
              <w:rPr>
                <w:rFonts w:ascii="仿宋_GB2312" w:hAnsi="仿宋_GB2312" w:eastAsia="仿宋_GB2312" w:cs="仿宋_GB2312"/>
                <w:highlight w:val="none"/>
              </w:rPr>
              <w:t>15.00%</w:t>
            </w:r>
          </w:p>
        </w:tc>
        <w:tc>
          <w:tcPr>
            <w:tcW w:w="4153" w:type="dxa"/>
          </w:tcPr>
          <w:p w14:paraId="56318AAF">
            <w:pPr>
              <w:pStyle w:val="4"/>
              <w:jc w:val="left"/>
              <w:rPr>
                <w:highlight w:val="none"/>
              </w:rPr>
            </w:pPr>
            <w:r>
              <w:rPr>
                <w:rFonts w:ascii="仿宋_GB2312" w:hAnsi="仿宋_GB2312" w:eastAsia="仿宋_GB2312" w:cs="仿宋_GB2312"/>
                <w:highlight w:val="none"/>
              </w:rPr>
              <w:t>1.提供的货物或服务符合财政部、工信部文件（财库〔2020〕46号）规定的小、微企业扶持政策的，按福建省财政厅文件（闽财规[2022]13号）的规定，对其报价给予15%的扣除。2.提供的货物或服务符合财政部、民政部、中国残联文件（财库〔2017〕141号）规定的残疾人福利性单位扶持政策的，视同小微企业，对其报价给予15%的扣除。</w:t>
            </w:r>
          </w:p>
        </w:tc>
      </w:tr>
    </w:tbl>
    <w:p w14:paraId="51F9DC68">
      <w:pPr>
        <w:pStyle w:val="4"/>
        <w:jc w:val="both"/>
        <w:rPr>
          <w:highlight w:val="none"/>
        </w:rPr>
      </w:pPr>
      <w:r>
        <w:rPr>
          <w:rFonts w:ascii="仿宋_GB2312" w:hAnsi="仿宋_GB2312" w:eastAsia="仿宋_GB2312" w:cs="仿宋_GB2312"/>
          <w:highlight w:val="none"/>
        </w:rPr>
        <w:t>其他：无</w:t>
      </w:r>
    </w:p>
    <w:p w14:paraId="228425C7">
      <w:pPr>
        <w:pStyle w:val="4"/>
        <w:jc w:val="both"/>
        <w:rPr>
          <w:highlight w:val="none"/>
        </w:rPr>
      </w:pPr>
      <w:r>
        <w:rPr>
          <w:rFonts w:ascii="仿宋_GB2312" w:hAnsi="仿宋_GB2312" w:eastAsia="仿宋_GB2312" w:cs="仿宋_GB2312"/>
          <w:highlight w:val="none"/>
        </w:rPr>
        <w:t>技术项（F2×A2）满分为67.0000分</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36"/>
        <w:gridCol w:w="975"/>
        <w:gridCol w:w="838"/>
        <w:gridCol w:w="5158"/>
      </w:tblGrid>
      <w:tr w14:paraId="0F22B9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36" w:type="dxa"/>
          </w:tcPr>
          <w:p w14:paraId="2C7D9E37">
            <w:pPr>
              <w:pStyle w:val="4"/>
              <w:jc w:val="both"/>
              <w:rPr>
                <w:highlight w:val="none"/>
              </w:rPr>
            </w:pPr>
            <w:r>
              <w:rPr>
                <w:rFonts w:ascii="仿宋_GB2312" w:hAnsi="仿宋_GB2312" w:eastAsia="仿宋_GB2312" w:cs="仿宋_GB2312"/>
                <w:highlight w:val="none"/>
              </w:rPr>
              <w:t xml:space="preserve"> 项目</w:t>
            </w:r>
          </w:p>
        </w:tc>
        <w:tc>
          <w:tcPr>
            <w:tcW w:w="975" w:type="dxa"/>
          </w:tcPr>
          <w:p w14:paraId="4D2F0DC5">
            <w:pPr>
              <w:pStyle w:val="4"/>
              <w:jc w:val="both"/>
              <w:rPr>
                <w:highlight w:val="none"/>
              </w:rPr>
            </w:pPr>
            <w:r>
              <w:rPr>
                <w:rFonts w:ascii="仿宋_GB2312" w:hAnsi="仿宋_GB2312" w:eastAsia="仿宋_GB2312" w:cs="仿宋_GB2312"/>
                <w:highlight w:val="none"/>
              </w:rPr>
              <w:t xml:space="preserve"> 分值</w:t>
            </w:r>
          </w:p>
        </w:tc>
        <w:tc>
          <w:tcPr>
            <w:tcW w:w="838" w:type="dxa"/>
          </w:tcPr>
          <w:p w14:paraId="7A19104D">
            <w:pPr>
              <w:pStyle w:val="4"/>
              <w:jc w:val="both"/>
              <w:rPr>
                <w:highlight w:val="none"/>
              </w:rPr>
            </w:pPr>
            <w:r>
              <w:rPr>
                <w:rFonts w:ascii="仿宋_GB2312" w:hAnsi="仿宋_GB2312" w:eastAsia="仿宋_GB2312" w:cs="仿宋_GB2312"/>
                <w:highlight w:val="none"/>
              </w:rPr>
              <w:t xml:space="preserve"> 是否客观项</w:t>
            </w:r>
          </w:p>
        </w:tc>
        <w:tc>
          <w:tcPr>
            <w:tcW w:w="5158" w:type="dxa"/>
          </w:tcPr>
          <w:p w14:paraId="2B9B756C">
            <w:pPr>
              <w:pStyle w:val="4"/>
              <w:jc w:val="both"/>
              <w:rPr>
                <w:highlight w:val="none"/>
              </w:rPr>
            </w:pPr>
            <w:r>
              <w:rPr>
                <w:rFonts w:ascii="仿宋_GB2312" w:hAnsi="仿宋_GB2312" w:eastAsia="仿宋_GB2312" w:cs="仿宋_GB2312"/>
                <w:highlight w:val="none"/>
              </w:rPr>
              <w:t xml:space="preserve"> 描述</w:t>
            </w:r>
          </w:p>
        </w:tc>
      </w:tr>
      <w:tr w14:paraId="261A9E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36" w:type="dxa"/>
          </w:tcPr>
          <w:p w14:paraId="52480B87">
            <w:pPr>
              <w:pStyle w:val="4"/>
              <w:jc w:val="both"/>
              <w:rPr>
                <w:highlight w:val="none"/>
              </w:rPr>
            </w:pPr>
            <w:r>
              <w:rPr>
                <w:rFonts w:ascii="仿宋_GB2312" w:hAnsi="仿宋_GB2312" w:eastAsia="仿宋_GB2312" w:cs="仿宋_GB2312"/>
                <w:highlight w:val="none"/>
              </w:rPr>
              <w:t>1、增值服务承诺</w:t>
            </w:r>
          </w:p>
        </w:tc>
        <w:tc>
          <w:tcPr>
            <w:tcW w:w="975" w:type="dxa"/>
          </w:tcPr>
          <w:p w14:paraId="39111D92">
            <w:pPr>
              <w:pStyle w:val="4"/>
              <w:jc w:val="right"/>
              <w:rPr>
                <w:highlight w:val="none"/>
              </w:rPr>
            </w:pPr>
            <w:r>
              <w:rPr>
                <w:rFonts w:ascii="仿宋_GB2312" w:hAnsi="仿宋_GB2312" w:eastAsia="仿宋_GB2312" w:cs="仿宋_GB2312"/>
                <w:highlight w:val="none"/>
              </w:rPr>
              <w:t>15.00</w:t>
            </w:r>
          </w:p>
        </w:tc>
        <w:tc>
          <w:tcPr>
            <w:tcW w:w="838" w:type="dxa"/>
          </w:tcPr>
          <w:p w14:paraId="4AAB8EF8">
            <w:pPr>
              <w:pStyle w:val="4"/>
              <w:jc w:val="both"/>
              <w:rPr>
                <w:highlight w:val="none"/>
              </w:rPr>
            </w:pPr>
            <w:r>
              <w:rPr>
                <w:rFonts w:ascii="仿宋_GB2312" w:hAnsi="仿宋_GB2312" w:eastAsia="仿宋_GB2312" w:cs="仿宋_GB2312"/>
                <w:highlight w:val="none"/>
              </w:rPr>
              <w:t>是</w:t>
            </w:r>
          </w:p>
        </w:tc>
        <w:tc>
          <w:tcPr>
            <w:tcW w:w="5158" w:type="dxa"/>
          </w:tcPr>
          <w:p w14:paraId="1764631E">
            <w:pPr>
              <w:pStyle w:val="4"/>
              <w:jc w:val="both"/>
              <w:rPr>
                <w:highlight w:val="none"/>
              </w:rPr>
            </w:pPr>
            <w:r>
              <w:rPr>
                <w:rFonts w:ascii="仿宋_GB2312" w:hAnsi="仿宋_GB2312" w:eastAsia="仿宋_GB2312" w:cs="仿宋_GB2312"/>
                <w:highlight w:val="none"/>
              </w:rPr>
              <w:t>根据投标人针对本项目增值服务的响应情况，由评标委员会进行评分：①承诺在采购人需要额外人员支援时，1小时内做出响应并在规定时间内到校服务，承诺内容应包括但不限于无条件增加人力物力，延长物业服务时间等；②承诺每年对全体物业员工进行一次健康体检；③承诺每学期组织应急预案演练至少两次；④承诺每年聘请专业修树团队使用升降车开展一次高枝修剪，确保校园绿化整洁；⑤承诺每年提供2人次*12天的大批量档案及大件物品搬运服务。每提供一项承诺得3分，满分15分。（须提供书面承诺函并加盖公章，否则不得分）</w:t>
            </w:r>
          </w:p>
        </w:tc>
      </w:tr>
      <w:tr w14:paraId="45DF7A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36" w:type="dxa"/>
          </w:tcPr>
          <w:p w14:paraId="578BD7B1">
            <w:pPr>
              <w:pStyle w:val="4"/>
              <w:jc w:val="both"/>
              <w:rPr>
                <w:highlight w:val="none"/>
              </w:rPr>
            </w:pPr>
            <w:r>
              <w:rPr>
                <w:rFonts w:ascii="仿宋_GB2312" w:hAnsi="仿宋_GB2312" w:eastAsia="仿宋_GB2312" w:cs="仿宋_GB2312"/>
                <w:highlight w:val="none"/>
              </w:rPr>
              <w:t>2、项目分析、解决措施和提升方案</w:t>
            </w:r>
          </w:p>
        </w:tc>
        <w:tc>
          <w:tcPr>
            <w:tcW w:w="975" w:type="dxa"/>
          </w:tcPr>
          <w:p w14:paraId="544959BE">
            <w:pPr>
              <w:pStyle w:val="4"/>
              <w:jc w:val="right"/>
              <w:rPr>
                <w:highlight w:val="none"/>
              </w:rPr>
            </w:pPr>
            <w:r>
              <w:rPr>
                <w:rFonts w:ascii="仿宋_GB2312" w:hAnsi="仿宋_GB2312" w:eastAsia="仿宋_GB2312" w:cs="仿宋_GB2312"/>
                <w:highlight w:val="none"/>
              </w:rPr>
              <w:t>3.00</w:t>
            </w:r>
          </w:p>
        </w:tc>
        <w:tc>
          <w:tcPr>
            <w:tcW w:w="838" w:type="dxa"/>
          </w:tcPr>
          <w:p w14:paraId="7EA161F5">
            <w:pPr>
              <w:pStyle w:val="4"/>
              <w:jc w:val="both"/>
              <w:rPr>
                <w:highlight w:val="none"/>
              </w:rPr>
            </w:pPr>
            <w:r>
              <w:rPr>
                <w:rFonts w:ascii="仿宋_GB2312" w:hAnsi="仿宋_GB2312" w:eastAsia="仿宋_GB2312" w:cs="仿宋_GB2312"/>
                <w:highlight w:val="none"/>
              </w:rPr>
              <w:t>否</w:t>
            </w:r>
          </w:p>
        </w:tc>
        <w:tc>
          <w:tcPr>
            <w:tcW w:w="5158" w:type="dxa"/>
          </w:tcPr>
          <w:p w14:paraId="3C8329E6">
            <w:pPr>
              <w:pStyle w:val="4"/>
              <w:jc w:val="both"/>
              <w:rPr>
                <w:highlight w:val="none"/>
              </w:rPr>
            </w:pPr>
            <w:r>
              <w:rPr>
                <w:rFonts w:ascii="仿宋_GB2312" w:hAnsi="仿宋_GB2312" w:eastAsia="仿宋_GB2312" w:cs="仿宋_GB2312"/>
                <w:highlight w:val="none"/>
              </w:rPr>
              <w:t>投标人针对本项目进行总体分析，列出项目管理难点重点、相应解决措施和项目提升方案，由评标委员会进行评分：方案包含以上要点，内容与要点相符、且措施具体的得3分；方案所包含的要点齐全、内容与要点相符，内容相对简略，但具有可操作性的得2.9分；方案所包含的要点有缺漏或仅笼统描述无具体措施的得2.8分，未提供方案或方案内容有明显错误与项目情况不相符的不得分。</w:t>
            </w:r>
          </w:p>
        </w:tc>
      </w:tr>
      <w:tr w14:paraId="1AF670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36" w:type="dxa"/>
          </w:tcPr>
          <w:p w14:paraId="38FE6EAE">
            <w:pPr>
              <w:pStyle w:val="4"/>
              <w:jc w:val="both"/>
              <w:rPr>
                <w:highlight w:val="none"/>
              </w:rPr>
            </w:pPr>
            <w:r>
              <w:rPr>
                <w:rFonts w:ascii="仿宋_GB2312" w:hAnsi="仿宋_GB2312" w:eastAsia="仿宋_GB2312" w:cs="仿宋_GB2312"/>
                <w:highlight w:val="none"/>
              </w:rPr>
              <w:t>3、人员配置方案</w:t>
            </w:r>
          </w:p>
        </w:tc>
        <w:tc>
          <w:tcPr>
            <w:tcW w:w="975" w:type="dxa"/>
          </w:tcPr>
          <w:p w14:paraId="3FEBE8AF">
            <w:pPr>
              <w:pStyle w:val="4"/>
              <w:jc w:val="right"/>
              <w:rPr>
                <w:highlight w:val="none"/>
              </w:rPr>
            </w:pPr>
            <w:r>
              <w:rPr>
                <w:rFonts w:ascii="仿宋_GB2312" w:hAnsi="仿宋_GB2312" w:eastAsia="仿宋_GB2312" w:cs="仿宋_GB2312"/>
                <w:highlight w:val="none"/>
              </w:rPr>
              <w:t>3.00</w:t>
            </w:r>
          </w:p>
        </w:tc>
        <w:tc>
          <w:tcPr>
            <w:tcW w:w="838" w:type="dxa"/>
          </w:tcPr>
          <w:p w14:paraId="1EAA0F87">
            <w:pPr>
              <w:pStyle w:val="4"/>
              <w:jc w:val="both"/>
              <w:rPr>
                <w:highlight w:val="none"/>
              </w:rPr>
            </w:pPr>
            <w:r>
              <w:rPr>
                <w:rFonts w:ascii="仿宋_GB2312" w:hAnsi="仿宋_GB2312" w:eastAsia="仿宋_GB2312" w:cs="仿宋_GB2312"/>
                <w:highlight w:val="none"/>
              </w:rPr>
              <w:t>否</w:t>
            </w:r>
          </w:p>
        </w:tc>
        <w:tc>
          <w:tcPr>
            <w:tcW w:w="5158" w:type="dxa"/>
          </w:tcPr>
          <w:p w14:paraId="114A50D6">
            <w:pPr>
              <w:pStyle w:val="4"/>
              <w:jc w:val="both"/>
              <w:rPr>
                <w:highlight w:val="none"/>
              </w:rPr>
            </w:pPr>
            <w:r>
              <w:rPr>
                <w:rFonts w:ascii="仿宋_GB2312" w:hAnsi="仿宋_GB2312" w:eastAsia="仿宋_GB2312" w:cs="仿宋_GB2312"/>
                <w:highlight w:val="none"/>
              </w:rPr>
              <w:t>根据投标人提供的项目管理组织架构及工作职能组织运行图、岗位设置、人员组织调配等的人员配置方案进行评分，方案详实、可操作性强的得3分；方案部分详实或部分内容可操作性较强的得2.9分；方案阐述简短或可操作性一般的得2.8分；未提供方案或方案内容有明显错误与项目情况不相符的不得分。</w:t>
            </w:r>
          </w:p>
        </w:tc>
      </w:tr>
      <w:tr w14:paraId="37E888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36" w:type="dxa"/>
          </w:tcPr>
          <w:p w14:paraId="7FF09070">
            <w:pPr>
              <w:pStyle w:val="4"/>
              <w:jc w:val="both"/>
              <w:rPr>
                <w:highlight w:val="none"/>
              </w:rPr>
            </w:pPr>
            <w:r>
              <w:rPr>
                <w:rFonts w:ascii="仿宋_GB2312" w:hAnsi="仿宋_GB2312" w:eastAsia="仿宋_GB2312" w:cs="仿宋_GB2312"/>
                <w:highlight w:val="none"/>
              </w:rPr>
              <w:t>4、突发事件应急处理服务特殊情况保障方案</w:t>
            </w:r>
          </w:p>
        </w:tc>
        <w:tc>
          <w:tcPr>
            <w:tcW w:w="975" w:type="dxa"/>
          </w:tcPr>
          <w:p w14:paraId="1B5C7DA4">
            <w:pPr>
              <w:pStyle w:val="4"/>
              <w:jc w:val="right"/>
              <w:rPr>
                <w:highlight w:val="none"/>
              </w:rPr>
            </w:pPr>
            <w:r>
              <w:rPr>
                <w:rFonts w:ascii="仿宋_GB2312" w:hAnsi="仿宋_GB2312" w:eastAsia="仿宋_GB2312" w:cs="仿宋_GB2312"/>
                <w:highlight w:val="none"/>
              </w:rPr>
              <w:t>3.00</w:t>
            </w:r>
          </w:p>
        </w:tc>
        <w:tc>
          <w:tcPr>
            <w:tcW w:w="838" w:type="dxa"/>
          </w:tcPr>
          <w:p w14:paraId="1DC2BE6E">
            <w:pPr>
              <w:pStyle w:val="4"/>
              <w:jc w:val="both"/>
              <w:rPr>
                <w:highlight w:val="none"/>
              </w:rPr>
            </w:pPr>
            <w:r>
              <w:rPr>
                <w:rFonts w:ascii="仿宋_GB2312" w:hAnsi="仿宋_GB2312" w:eastAsia="仿宋_GB2312" w:cs="仿宋_GB2312"/>
                <w:highlight w:val="none"/>
              </w:rPr>
              <w:t>否</w:t>
            </w:r>
          </w:p>
        </w:tc>
        <w:tc>
          <w:tcPr>
            <w:tcW w:w="5158" w:type="dxa"/>
          </w:tcPr>
          <w:p w14:paraId="495829AC">
            <w:pPr>
              <w:pStyle w:val="4"/>
              <w:jc w:val="both"/>
              <w:rPr>
                <w:highlight w:val="none"/>
              </w:rPr>
            </w:pPr>
            <w:r>
              <w:rPr>
                <w:rFonts w:ascii="仿宋_GB2312" w:hAnsi="仿宋_GB2312" w:eastAsia="仿宋_GB2312" w:cs="仿宋_GB2312"/>
                <w:highlight w:val="none"/>
              </w:rPr>
              <w:t>投标人针对本项目提供的重大活动保障处理管理服务方案（至少包含：①遇有重大节日、②运动会、③迎新、④军训、⑤毕业典礼、⑥重要来宾到访、⑦自然灾害、⑧突发公共卫生事件应急预案（至少包含：①突发事件监测、②预警、③措施、④物资、⑤设备、⑥设施、⑦技术与人才资源储备））由评委进行打分：方案详实、可操作性强的得3分，方案部分详实或部分内容可操作性较强的得2.9分，方案阐述简短或可操作性一般的得2.8分，未提供方案或方案内容有明显错误与项目情况不相符的不得分。</w:t>
            </w:r>
          </w:p>
        </w:tc>
      </w:tr>
      <w:tr w14:paraId="367194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36" w:type="dxa"/>
          </w:tcPr>
          <w:p w14:paraId="29B10730">
            <w:pPr>
              <w:pStyle w:val="4"/>
              <w:jc w:val="both"/>
              <w:rPr>
                <w:highlight w:val="none"/>
              </w:rPr>
            </w:pPr>
            <w:r>
              <w:rPr>
                <w:rFonts w:ascii="仿宋_GB2312" w:hAnsi="仿宋_GB2312" w:eastAsia="仿宋_GB2312" w:cs="仿宋_GB2312"/>
                <w:highlight w:val="none"/>
              </w:rPr>
              <w:t>5、卫生保洁服务方案</w:t>
            </w:r>
          </w:p>
        </w:tc>
        <w:tc>
          <w:tcPr>
            <w:tcW w:w="975" w:type="dxa"/>
          </w:tcPr>
          <w:p w14:paraId="27948028">
            <w:pPr>
              <w:pStyle w:val="4"/>
              <w:jc w:val="right"/>
              <w:rPr>
                <w:highlight w:val="none"/>
              </w:rPr>
            </w:pPr>
            <w:r>
              <w:rPr>
                <w:rFonts w:ascii="仿宋_GB2312" w:hAnsi="仿宋_GB2312" w:eastAsia="仿宋_GB2312" w:cs="仿宋_GB2312"/>
                <w:highlight w:val="none"/>
              </w:rPr>
              <w:t>3.00</w:t>
            </w:r>
          </w:p>
        </w:tc>
        <w:tc>
          <w:tcPr>
            <w:tcW w:w="838" w:type="dxa"/>
          </w:tcPr>
          <w:p w14:paraId="65253C84">
            <w:pPr>
              <w:pStyle w:val="4"/>
              <w:jc w:val="both"/>
              <w:rPr>
                <w:highlight w:val="none"/>
              </w:rPr>
            </w:pPr>
            <w:r>
              <w:rPr>
                <w:rFonts w:ascii="仿宋_GB2312" w:hAnsi="仿宋_GB2312" w:eastAsia="仿宋_GB2312" w:cs="仿宋_GB2312"/>
                <w:highlight w:val="none"/>
              </w:rPr>
              <w:t>否</w:t>
            </w:r>
          </w:p>
        </w:tc>
        <w:tc>
          <w:tcPr>
            <w:tcW w:w="5158" w:type="dxa"/>
          </w:tcPr>
          <w:p w14:paraId="368914A4">
            <w:pPr>
              <w:pStyle w:val="4"/>
              <w:jc w:val="both"/>
              <w:rPr>
                <w:highlight w:val="none"/>
              </w:rPr>
            </w:pPr>
            <w:r>
              <w:rPr>
                <w:rFonts w:ascii="仿宋_GB2312" w:hAnsi="仿宋_GB2312" w:eastAsia="仿宋_GB2312" w:cs="仿宋_GB2312"/>
                <w:highlight w:val="none"/>
              </w:rPr>
              <w:t>根据投标人针对本项目提供卫生保洁服务方案（包括但不限于，制定合理保洁作业流程、详细的服务质量标准、可行的垃圾清运服务方案及垃圾处理措施）进行评分，方案详实、可操作性强的得3分，方案部分详实或部分内容可操作性较强的得2.9分，方案阐述简短或可操作性一般的得2.8分，未提供方案或方案内容有明显错误与项目情况不相符的不得分。</w:t>
            </w:r>
          </w:p>
        </w:tc>
      </w:tr>
      <w:tr w14:paraId="0027C9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36" w:type="dxa"/>
          </w:tcPr>
          <w:p w14:paraId="02F4D724">
            <w:pPr>
              <w:pStyle w:val="4"/>
              <w:jc w:val="both"/>
              <w:rPr>
                <w:highlight w:val="none"/>
              </w:rPr>
            </w:pPr>
            <w:r>
              <w:rPr>
                <w:rFonts w:ascii="仿宋_GB2312" w:hAnsi="仿宋_GB2312" w:eastAsia="仿宋_GB2312" w:cs="仿宋_GB2312"/>
                <w:highlight w:val="none"/>
              </w:rPr>
              <w:t>6、学生宿舍管理方案</w:t>
            </w:r>
          </w:p>
        </w:tc>
        <w:tc>
          <w:tcPr>
            <w:tcW w:w="975" w:type="dxa"/>
          </w:tcPr>
          <w:p w14:paraId="27F09208">
            <w:pPr>
              <w:pStyle w:val="4"/>
              <w:jc w:val="right"/>
              <w:rPr>
                <w:highlight w:val="none"/>
              </w:rPr>
            </w:pPr>
            <w:r>
              <w:rPr>
                <w:rFonts w:ascii="仿宋_GB2312" w:hAnsi="仿宋_GB2312" w:eastAsia="仿宋_GB2312" w:cs="仿宋_GB2312"/>
                <w:highlight w:val="none"/>
              </w:rPr>
              <w:t>3.00</w:t>
            </w:r>
          </w:p>
        </w:tc>
        <w:tc>
          <w:tcPr>
            <w:tcW w:w="838" w:type="dxa"/>
          </w:tcPr>
          <w:p w14:paraId="129FAD9A">
            <w:pPr>
              <w:pStyle w:val="4"/>
              <w:jc w:val="both"/>
              <w:rPr>
                <w:highlight w:val="none"/>
              </w:rPr>
            </w:pPr>
            <w:r>
              <w:rPr>
                <w:rFonts w:ascii="仿宋_GB2312" w:hAnsi="仿宋_GB2312" w:eastAsia="仿宋_GB2312" w:cs="仿宋_GB2312"/>
                <w:highlight w:val="none"/>
              </w:rPr>
              <w:t>否</w:t>
            </w:r>
          </w:p>
        </w:tc>
        <w:tc>
          <w:tcPr>
            <w:tcW w:w="5158" w:type="dxa"/>
          </w:tcPr>
          <w:p w14:paraId="57628BC0">
            <w:pPr>
              <w:pStyle w:val="4"/>
              <w:jc w:val="both"/>
              <w:rPr>
                <w:highlight w:val="none"/>
              </w:rPr>
            </w:pPr>
            <w:r>
              <w:rPr>
                <w:rFonts w:ascii="仿宋_GB2312" w:hAnsi="仿宋_GB2312" w:eastAsia="仿宋_GB2312" w:cs="仿宋_GB2312"/>
                <w:highlight w:val="none"/>
              </w:rPr>
              <w:t>根据投标人针对本项目提供的公寓楼宇管理方案，包含但不限于①宿舍出入制度、②宿舍区卫生管理方案、③维修方案、④安全保障（停水、停电及防火防盗等方面）、⑤安全管理（打击斗殴及各类安全隐患排查）。方案详实、可操作性强的得3分，方案部分详实或部分内容可操作性较强的得2.9分，方案阐述简短或可操作性一般的得2.8分，未提供方案或方案内容有明显错误与项目情况不相符的不得分。</w:t>
            </w:r>
          </w:p>
        </w:tc>
      </w:tr>
      <w:tr w14:paraId="3EF369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36" w:type="dxa"/>
          </w:tcPr>
          <w:p w14:paraId="7798FE3E">
            <w:pPr>
              <w:pStyle w:val="4"/>
              <w:jc w:val="both"/>
              <w:rPr>
                <w:highlight w:val="none"/>
              </w:rPr>
            </w:pPr>
            <w:r>
              <w:rPr>
                <w:rFonts w:ascii="仿宋_GB2312" w:hAnsi="仿宋_GB2312" w:eastAsia="仿宋_GB2312" w:cs="仿宋_GB2312"/>
                <w:highlight w:val="none"/>
              </w:rPr>
              <w:t>7、零星修缮管理方案</w:t>
            </w:r>
          </w:p>
        </w:tc>
        <w:tc>
          <w:tcPr>
            <w:tcW w:w="975" w:type="dxa"/>
          </w:tcPr>
          <w:p w14:paraId="5A176CF9">
            <w:pPr>
              <w:pStyle w:val="4"/>
              <w:jc w:val="right"/>
              <w:rPr>
                <w:highlight w:val="none"/>
              </w:rPr>
            </w:pPr>
            <w:r>
              <w:rPr>
                <w:rFonts w:ascii="仿宋_GB2312" w:hAnsi="仿宋_GB2312" w:eastAsia="仿宋_GB2312" w:cs="仿宋_GB2312"/>
                <w:highlight w:val="none"/>
              </w:rPr>
              <w:t>3.00</w:t>
            </w:r>
          </w:p>
        </w:tc>
        <w:tc>
          <w:tcPr>
            <w:tcW w:w="838" w:type="dxa"/>
          </w:tcPr>
          <w:p w14:paraId="64EA582E">
            <w:pPr>
              <w:pStyle w:val="4"/>
              <w:jc w:val="both"/>
              <w:rPr>
                <w:highlight w:val="none"/>
              </w:rPr>
            </w:pPr>
            <w:r>
              <w:rPr>
                <w:rFonts w:ascii="仿宋_GB2312" w:hAnsi="仿宋_GB2312" w:eastAsia="仿宋_GB2312" w:cs="仿宋_GB2312"/>
                <w:highlight w:val="none"/>
              </w:rPr>
              <w:t>否</w:t>
            </w:r>
          </w:p>
        </w:tc>
        <w:tc>
          <w:tcPr>
            <w:tcW w:w="5158" w:type="dxa"/>
          </w:tcPr>
          <w:p w14:paraId="23F368D2">
            <w:pPr>
              <w:pStyle w:val="4"/>
              <w:jc w:val="both"/>
              <w:rPr>
                <w:highlight w:val="none"/>
              </w:rPr>
            </w:pPr>
            <w:r>
              <w:rPr>
                <w:rFonts w:ascii="仿宋_GB2312" w:hAnsi="仿宋_GB2312" w:eastAsia="仿宋_GB2312" w:cs="仿宋_GB2312"/>
                <w:highlight w:val="none"/>
              </w:rPr>
              <w:t>根据投标人针对本项目提供的零星修缮管理方案，包含但不限于①维修响应方案、②维修效率保障方案、③维修投诉处理方案、④维修档案管理方案。方案详实、可操作性强的得3分，方案部分详实或部分内容可操作性较强的得2.9分，方案阐述简短或可操作性一般的得2.8分，未提供方案或方案内容有明显错误与项目情况不相符的不得分。</w:t>
            </w:r>
          </w:p>
        </w:tc>
      </w:tr>
      <w:tr w14:paraId="3A5E9B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36" w:type="dxa"/>
          </w:tcPr>
          <w:p w14:paraId="0675467C">
            <w:pPr>
              <w:pStyle w:val="4"/>
              <w:jc w:val="both"/>
              <w:rPr>
                <w:highlight w:val="none"/>
              </w:rPr>
            </w:pPr>
            <w:r>
              <w:rPr>
                <w:rFonts w:ascii="仿宋_GB2312" w:hAnsi="仿宋_GB2312" w:eastAsia="仿宋_GB2312" w:cs="仿宋_GB2312"/>
                <w:highlight w:val="none"/>
              </w:rPr>
              <w:t>8、设备设施管理与维护方案</w:t>
            </w:r>
          </w:p>
        </w:tc>
        <w:tc>
          <w:tcPr>
            <w:tcW w:w="975" w:type="dxa"/>
          </w:tcPr>
          <w:p w14:paraId="62FE8A99">
            <w:pPr>
              <w:pStyle w:val="4"/>
              <w:jc w:val="right"/>
              <w:rPr>
                <w:highlight w:val="none"/>
              </w:rPr>
            </w:pPr>
            <w:r>
              <w:rPr>
                <w:rFonts w:ascii="仿宋_GB2312" w:hAnsi="仿宋_GB2312" w:eastAsia="仿宋_GB2312" w:cs="仿宋_GB2312"/>
                <w:highlight w:val="none"/>
              </w:rPr>
              <w:t>3.00</w:t>
            </w:r>
          </w:p>
        </w:tc>
        <w:tc>
          <w:tcPr>
            <w:tcW w:w="838" w:type="dxa"/>
          </w:tcPr>
          <w:p w14:paraId="27A12AAC">
            <w:pPr>
              <w:pStyle w:val="4"/>
              <w:jc w:val="both"/>
              <w:rPr>
                <w:highlight w:val="none"/>
              </w:rPr>
            </w:pPr>
            <w:r>
              <w:rPr>
                <w:rFonts w:ascii="仿宋_GB2312" w:hAnsi="仿宋_GB2312" w:eastAsia="仿宋_GB2312" w:cs="仿宋_GB2312"/>
                <w:highlight w:val="none"/>
              </w:rPr>
              <w:t>否</w:t>
            </w:r>
          </w:p>
        </w:tc>
        <w:tc>
          <w:tcPr>
            <w:tcW w:w="5158" w:type="dxa"/>
          </w:tcPr>
          <w:p w14:paraId="21CF079E">
            <w:pPr>
              <w:pStyle w:val="4"/>
              <w:jc w:val="both"/>
              <w:rPr>
                <w:highlight w:val="none"/>
              </w:rPr>
            </w:pPr>
            <w:r>
              <w:rPr>
                <w:rFonts w:ascii="仿宋_GB2312" w:hAnsi="仿宋_GB2312" w:eastAsia="仿宋_GB2312" w:cs="仿宋_GB2312"/>
                <w:highlight w:val="none"/>
              </w:rPr>
              <w:t>根据投标人针对本项目现场实际情况，提供的水电设备设施管理与维护方案（至少包含：①配电房管理；②供电设备设施维护保养；③给排水设备运行维护管理；④空调运行维护管理；⑤电梯维护及运行管理）由评委进行打分：方案详实、可操作性强的得3分，方案部分详实或部分内容可操作性较强的得2.9分，方案阐述简短或可操作性一般的得2.8分，未提供方案或方案内容有明显错误与项目情况不相符的不得分。</w:t>
            </w:r>
          </w:p>
        </w:tc>
      </w:tr>
      <w:tr w14:paraId="685791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36" w:type="dxa"/>
          </w:tcPr>
          <w:p w14:paraId="0AF5CCFE">
            <w:pPr>
              <w:pStyle w:val="4"/>
              <w:jc w:val="both"/>
              <w:rPr>
                <w:highlight w:val="none"/>
              </w:rPr>
            </w:pPr>
            <w:r>
              <w:rPr>
                <w:rFonts w:ascii="仿宋_GB2312" w:hAnsi="仿宋_GB2312" w:eastAsia="仿宋_GB2312" w:cs="仿宋_GB2312"/>
                <w:highlight w:val="none"/>
              </w:rPr>
              <w:t>9、绿化养护服务方案</w:t>
            </w:r>
          </w:p>
        </w:tc>
        <w:tc>
          <w:tcPr>
            <w:tcW w:w="975" w:type="dxa"/>
          </w:tcPr>
          <w:p w14:paraId="339F260F">
            <w:pPr>
              <w:pStyle w:val="4"/>
              <w:jc w:val="right"/>
              <w:rPr>
                <w:highlight w:val="none"/>
              </w:rPr>
            </w:pPr>
            <w:r>
              <w:rPr>
                <w:rFonts w:ascii="仿宋_GB2312" w:hAnsi="仿宋_GB2312" w:eastAsia="仿宋_GB2312" w:cs="仿宋_GB2312"/>
                <w:highlight w:val="none"/>
              </w:rPr>
              <w:t>3.00</w:t>
            </w:r>
          </w:p>
        </w:tc>
        <w:tc>
          <w:tcPr>
            <w:tcW w:w="838" w:type="dxa"/>
          </w:tcPr>
          <w:p w14:paraId="0A674A5B">
            <w:pPr>
              <w:pStyle w:val="4"/>
              <w:jc w:val="both"/>
              <w:rPr>
                <w:highlight w:val="none"/>
              </w:rPr>
            </w:pPr>
            <w:r>
              <w:rPr>
                <w:rFonts w:ascii="仿宋_GB2312" w:hAnsi="仿宋_GB2312" w:eastAsia="仿宋_GB2312" w:cs="仿宋_GB2312"/>
                <w:highlight w:val="none"/>
              </w:rPr>
              <w:t>否</w:t>
            </w:r>
          </w:p>
        </w:tc>
        <w:tc>
          <w:tcPr>
            <w:tcW w:w="5158" w:type="dxa"/>
          </w:tcPr>
          <w:p w14:paraId="61BE1A25">
            <w:pPr>
              <w:pStyle w:val="4"/>
              <w:jc w:val="both"/>
              <w:rPr>
                <w:highlight w:val="none"/>
              </w:rPr>
            </w:pPr>
            <w:r>
              <w:rPr>
                <w:rFonts w:ascii="仿宋_GB2312" w:hAnsi="仿宋_GB2312" w:eastAsia="仿宋_GB2312" w:cs="仿宋_GB2312"/>
                <w:highlight w:val="none"/>
              </w:rPr>
              <w:t>根据投标人针对本项目提供的绿化养护及绿植租摆方案（至少包含：①绿化养护的作业流程、服务内容标准；②绿化租摆的摆放数量、摆放品种及寒暑假养护办法）由评委进行打分：方案符合采购需求，内容详实、具有可操作性的得3分；方案符合采购需求，内容部分详实或部分内容可操作的得2.9分；方案符合采购需求，内容阐述一般，实际可操作的内容较少的得2.8分。未提供方案或方案内容有明显错误与项目情况不相符的不得分。</w:t>
            </w:r>
          </w:p>
        </w:tc>
      </w:tr>
      <w:tr w14:paraId="16EE0E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36" w:type="dxa"/>
          </w:tcPr>
          <w:p w14:paraId="4C1152C3">
            <w:pPr>
              <w:pStyle w:val="4"/>
              <w:jc w:val="both"/>
              <w:rPr>
                <w:highlight w:val="none"/>
              </w:rPr>
            </w:pPr>
            <w:r>
              <w:rPr>
                <w:rFonts w:ascii="仿宋_GB2312" w:hAnsi="仿宋_GB2312" w:eastAsia="仿宋_GB2312" w:cs="仿宋_GB2312"/>
                <w:highlight w:val="none"/>
              </w:rPr>
              <w:t>10、过渡期的物业服务团队交接方案</w:t>
            </w:r>
          </w:p>
        </w:tc>
        <w:tc>
          <w:tcPr>
            <w:tcW w:w="975" w:type="dxa"/>
          </w:tcPr>
          <w:p w14:paraId="74D0F648">
            <w:pPr>
              <w:pStyle w:val="4"/>
              <w:jc w:val="right"/>
              <w:rPr>
                <w:highlight w:val="none"/>
              </w:rPr>
            </w:pPr>
            <w:r>
              <w:rPr>
                <w:rFonts w:ascii="仿宋_GB2312" w:hAnsi="仿宋_GB2312" w:eastAsia="仿宋_GB2312" w:cs="仿宋_GB2312"/>
                <w:highlight w:val="none"/>
              </w:rPr>
              <w:t>3.00</w:t>
            </w:r>
          </w:p>
        </w:tc>
        <w:tc>
          <w:tcPr>
            <w:tcW w:w="838" w:type="dxa"/>
          </w:tcPr>
          <w:p w14:paraId="2F336405">
            <w:pPr>
              <w:pStyle w:val="4"/>
              <w:jc w:val="both"/>
              <w:rPr>
                <w:highlight w:val="none"/>
              </w:rPr>
            </w:pPr>
            <w:r>
              <w:rPr>
                <w:rFonts w:ascii="仿宋_GB2312" w:hAnsi="仿宋_GB2312" w:eastAsia="仿宋_GB2312" w:cs="仿宋_GB2312"/>
                <w:highlight w:val="none"/>
              </w:rPr>
              <w:t>否</w:t>
            </w:r>
          </w:p>
        </w:tc>
        <w:tc>
          <w:tcPr>
            <w:tcW w:w="5158" w:type="dxa"/>
          </w:tcPr>
          <w:p w14:paraId="73731B6B">
            <w:pPr>
              <w:pStyle w:val="4"/>
              <w:jc w:val="both"/>
              <w:rPr>
                <w:highlight w:val="none"/>
              </w:rPr>
            </w:pPr>
            <w:r>
              <w:rPr>
                <w:rFonts w:ascii="仿宋_GB2312" w:hAnsi="仿宋_GB2312" w:eastAsia="仿宋_GB2312" w:cs="仿宋_GB2312"/>
                <w:highlight w:val="none"/>
              </w:rPr>
              <w:t>根据投标人提供的针对本项目制定的过渡期物业服务团队交接方案，包含但不限于本项目交接内容、交接重点，确保人员过渡稳定、学校资产不流失，由评标委员会进行评分，提供的方案完整、详细、具体、可行性强的得3分，提供的方案部分详实或部分内容可行性较强的得2.9分，提供的方案不够周全详细、具体、完善、可行性一般的得2.8分，未提供方案或方案内容有明显错误与项目情况不相符的不得分。</w:t>
            </w:r>
          </w:p>
        </w:tc>
      </w:tr>
      <w:tr w14:paraId="728BD1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36" w:type="dxa"/>
          </w:tcPr>
          <w:p w14:paraId="739B6864">
            <w:pPr>
              <w:pStyle w:val="4"/>
              <w:jc w:val="both"/>
              <w:rPr>
                <w:highlight w:val="none"/>
              </w:rPr>
            </w:pPr>
            <w:r>
              <w:rPr>
                <w:rFonts w:ascii="仿宋_GB2312" w:hAnsi="仿宋_GB2312" w:eastAsia="仿宋_GB2312" w:cs="仿宋_GB2312"/>
                <w:highlight w:val="none"/>
              </w:rPr>
              <w:t>11、能源管理与节能减排方案</w:t>
            </w:r>
          </w:p>
        </w:tc>
        <w:tc>
          <w:tcPr>
            <w:tcW w:w="975" w:type="dxa"/>
          </w:tcPr>
          <w:p w14:paraId="3C887E21">
            <w:pPr>
              <w:pStyle w:val="4"/>
              <w:jc w:val="right"/>
              <w:rPr>
                <w:highlight w:val="none"/>
              </w:rPr>
            </w:pPr>
            <w:r>
              <w:rPr>
                <w:rFonts w:ascii="仿宋_GB2312" w:hAnsi="仿宋_GB2312" w:eastAsia="仿宋_GB2312" w:cs="仿宋_GB2312"/>
                <w:highlight w:val="none"/>
              </w:rPr>
              <w:t>3.00</w:t>
            </w:r>
          </w:p>
        </w:tc>
        <w:tc>
          <w:tcPr>
            <w:tcW w:w="838" w:type="dxa"/>
          </w:tcPr>
          <w:p w14:paraId="55E9950C">
            <w:pPr>
              <w:pStyle w:val="4"/>
              <w:jc w:val="both"/>
              <w:rPr>
                <w:highlight w:val="none"/>
              </w:rPr>
            </w:pPr>
            <w:r>
              <w:rPr>
                <w:rFonts w:ascii="仿宋_GB2312" w:hAnsi="仿宋_GB2312" w:eastAsia="仿宋_GB2312" w:cs="仿宋_GB2312"/>
                <w:highlight w:val="none"/>
              </w:rPr>
              <w:t>否</w:t>
            </w:r>
          </w:p>
        </w:tc>
        <w:tc>
          <w:tcPr>
            <w:tcW w:w="5158" w:type="dxa"/>
          </w:tcPr>
          <w:p w14:paraId="178A3358">
            <w:pPr>
              <w:pStyle w:val="4"/>
              <w:jc w:val="both"/>
              <w:rPr>
                <w:highlight w:val="none"/>
              </w:rPr>
            </w:pPr>
            <w:r>
              <w:rPr>
                <w:rFonts w:ascii="仿宋_GB2312" w:hAnsi="仿宋_GB2312" w:eastAsia="仿宋_GB2312" w:cs="仿宋_GB2312"/>
                <w:highlight w:val="none"/>
              </w:rPr>
              <w:t>投标人针对本项目提供的能源管理与节能减排方案，由评标委员会进行评分，提供的方案完整、详细、具体、可行性强的得3分，提供的方案部分详实或部分内容可行性较强的得2.9分，提供的方案不够周全详细、具体、完善、可行性一般的得2.8分，未提供方案或方案内容有明显错误与项目情况不相符的不得分。</w:t>
            </w:r>
          </w:p>
        </w:tc>
      </w:tr>
      <w:tr w14:paraId="7B7AF7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36" w:type="dxa"/>
          </w:tcPr>
          <w:p w14:paraId="2F177D3A">
            <w:pPr>
              <w:pStyle w:val="4"/>
              <w:jc w:val="both"/>
              <w:rPr>
                <w:highlight w:val="none"/>
              </w:rPr>
            </w:pPr>
            <w:r>
              <w:rPr>
                <w:rFonts w:ascii="仿宋_GB2312" w:hAnsi="仿宋_GB2312" w:eastAsia="仿宋_GB2312" w:cs="仿宋_GB2312"/>
                <w:highlight w:val="none"/>
              </w:rPr>
              <w:t>12、设备保障</w:t>
            </w:r>
          </w:p>
        </w:tc>
        <w:tc>
          <w:tcPr>
            <w:tcW w:w="975" w:type="dxa"/>
          </w:tcPr>
          <w:p w14:paraId="6EE918BC">
            <w:pPr>
              <w:pStyle w:val="4"/>
              <w:jc w:val="right"/>
              <w:rPr>
                <w:highlight w:val="none"/>
              </w:rPr>
            </w:pPr>
            <w:r>
              <w:rPr>
                <w:rFonts w:ascii="仿宋_GB2312" w:hAnsi="仿宋_GB2312" w:eastAsia="仿宋_GB2312" w:cs="仿宋_GB2312"/>
                <w:highlight w:val="none"/>
              </w:rPr>
              <w:t>4.00</w:t>
            </w:r>
          </w:p>
        </w:tc>
        <w:tc>
          <w:tcPr>
            <w:tcW w:w="838" w:type="dxa"/>
          </w:tcPr>
          <w:p w14:paraId="12465D48">
            <w:pPr>
              <w:pStyle w:val="4"/>
              <w:jc w:val="both"/>
              <w:rPr>
                <w:highlight w:val="none"/>
              </w:rPr>
            </w:pPr>
            <w:r>
              <w:rPr>
                <w:rFonts w:ascii="仿宋_GB2312" w:hAnsi="仿宋_GB2312" w:eastAsia="仿宋_GB2312" w:cs="仿宋_GB2312"/>
                <w:highlight w:val="none"/>
              </w:rPr>
              <w:t>是</w:t>
            </w:r>
          </w:p>
        </w:tc>
        <w:tc>
          <w:tcPr>
            <w:tcW w:w="5158" w:type="dxa"/>
          </w:tcPr>
          <w:p w14:paraId="79F7F545">
            <w:pPr>
              <w:pStyle w:val="4"/>
              <w:jc w:val="both"/>
              <w:rPr>
                <w:highlight w:val="none"/>
              </w:rPr>
            </w:pPr>
            <w:r>
              <w:rPr>
                <w:rFonts w:ascii="仿宋_GB2312" w:hAnsi="仿宋_GB2312" w:eastAsia="仿宋_GB2312" w:cs="仿宋_GB2312"/>
                <w:highlight w:val="none"/>
              </w:rPr>
              <w:t>根据投标人拟投入本项目自有产权/租赁的大型设备进行评分：①1台总质量12吨（含）以上洒水车(或喷洒车)；②1台总质量8吨（含）以上洗扫车（或扫地车）；③1台容量4方及以上管道疏通车；④1台容量3.5方及以上自装卸挂桶式垃圾清运车。每提供一种设备的得1分，满分4分。证明材料须包含：①设备为投标人自有的，须提供购买发票复印件（发票抬头须为投标人），有效期内的《机动车行驶证》复印件、机动车登记证复印件、车辆照片（可见车牌号），否则不得分。②设备为投标人租赁的，须提供租赁合同（租赁期限应包含本项目整个服务期并且承租方须为投标人）以及购买发票复印件（发票抬头须为出租方），有效期内的《机动车行驶证》复印件、机动车登记证复印件、车辆照片（可见车牌号），否则不得分。③另须提供加盖投标人公章的书面承诺函（承诺若中标，在合同签订后一个月内为本项目专门提供符合得分条件的设备投入）</w:t>
            </w:r>
          </w:p>
        </w:tc>
      </w:tr>
      <w:tr w14:paraId="59EE4B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36" w:type="dxa"/>
          </w:tcPr>
          <w:p w14:paraId="6B266EAF">
            <w:pPr>
              <w:pStyle w:val="4"/>
              <w:jc w:val="both"/>
              <w:rPr>
                <w:highlight w:val="none"/>
              </w:rPr>
            </w:pPr>
            <w:r>
              <w:rPr>
                <w:rFonts w:ascii="仿宋_GB2312" w:hAnsi="仿宋_GB2312" w:eastAsia="仿宋_GB2312" w:cs="仿宋_GB2312"/>
                <w:highlight w:val="none"/>
              </w:rPr>
              <w:t>13、项目经理</w:t>
            </w:r>
          </w:p>
        </w:tc>
        <w:tc>
          <w:tcPr>
            <w:tcW w:w="975" w:type="dxa"/>
          </w:tcPr>
          <w:p w14:paraId="02D81655">
            <w:pPr>
              <w:pStyle w:val="4"/>
              <w:jc w:val="right"/>
              <w:rPr>
                <w:highlight w:val="none"/>
              </w:rPr>
            </w:pPr>
            <w:r>
              <w:rPr>
                <w:rFonts w:ascii="仿宋_GB2312" w:hAnsi="仿宋_GB2312" w:eastAsia="仿宋_GB2312" w:cs="仿宋_GB2312"/>
                <w:highlight w:val="none"/>
              </w:rPr>
              <w:t>3.00</w:t>
            </w:r>
          </w:p>
        </w:tc>
        <w:tc>
          <w:tcPr>
            <w:tcW w:w="838" w:type="dxa"/>
          </w:tcPr>
          <w:p w14:paraId="5D6B8DAF">
            <w:pPr>
              <w:pStyle w:val="4"/>
              <w:jc w:val="both"/>
              <w:rPr>
                <w:highlight w:val="none"/>
              </w:rPr>
            </w:pPr>
            <w:r>
              <w:rPr>
                <w:rFonts w:ascii="仿宋_GB2312" w:hAnsi="仿宋_GB2312" w:eastAsia="仿宋_GB2312" w:cs="仿宋_GB2312"/>
                <w:highlight w:val="none"/>
              </w:rPr>
              <w:t>是</w:t>
            </w:r>
          </w:p>
        </w:tc>
        <w:tc>
          <w:tcPr>
            <w:tcW w:w="5158" w:type="dxa"/>
          </w:tcPr>
          <w:p w14:paraId="3E6A3BFA">
            <w:pPr>
              <w:pStyle w:val="4"/>
              <w:jc w:val="both"/>
              <w:rPr>
                <w:highlight w:val="none"/>
              </w:rPr>
            </w:pPr>
            <w:r>
              <w:rPr>
                <w:rFonts w:ascii="仿宋_GB2312" w:hAnsi="仿宋_GB2312" w:eastAsia="仿宋_GB2312" w:cs="仿宋_GB2312"/>
                <w:highlight w:val="none"/>
              </w:rPr>
              <w:t>投标人拟派的现场经理 ：①年龄不满46周岁，具备本科（含）以上学历(须提供学历证明材料复印件)；②持有人力资源管理或工商管理类中级（含）以上职称的得1分（须提供相关证书复印件）；③持有住房城乡建设部或人力资源社会保障部颁发的二级(含)以上建筑工程或市政公用专业的建造师资格证书（须提供证书复印件），同时满足上述条件的得3分，证明材料未提供或提供不全的不得分。注：投标人另须提供拟派人员身份证复印件（拟派人员身份证信息与招标文件第五章要求提供的身份证不一致的本评分项不得分）以及本项目投标截止时间前6个月（不含投标截止时间当月）中任1个月投标人（不含分公司）为其缴纳社保的证明材料复印件，否则本评分项不得分。注：此评分项与其它评分项中提供的人员不得重复，若有重复，该人员在所涉及的评分项均不得分。</w:t>
            </w:r>
          </w:p>
        </w:tc>
      </w:tr>
      <w:tr w14:paraId="61A85B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36" w:type="dxa"/>
          </w:tcPr>
          <w:p w14:paraId="38378DE1">
            <w:pPr>
              <w:pStyle w:val="4"/>
              <w:jc w:val="both"/>
              <w:rPr>
                <w:highlight w:val="none"/>
              </w:rPr>
            </w:pPr>
            <w:r>
              <w:rPr>
                <w:rFonts w:ascii="仿宋_GB2312" w:hAnsi="仿宋_GB2312" w:eastAsia="仿宋_GB2312" w:cs="仿宋_GB2312"/>
                <w:highlight w:val="none"/>
              </w:rPr>
              <w:t>14、工程主管</w:t>
            </w:r>
          </w:p>
        </w:tc>
        <w:tc>
          <w:tcPr>
            <w:tcW w:w="975" w:type="dxa"/>
          </w:tcPr>
          <w:p w14:paraId="674423E7">
            <w:pPr>
              <w:pStyle w:val="4"/>
              <w:jc w:val="right"/>
              <w:rPr>
                <w:highlight w:val="none"/>
              </w:rPr>
            </w:pPr>
            <w:r>
              <w:rPr>
                <w:rFonts w:ascii="仿宋_GB2312" w:hAnsi="仿宋_GB2312" w:eastAsia="仿宋_GB2312" w:cs="仿宋_GB2312"/>
                <w:highlight w:val="none"/>
              </w:rPr>
              <w:t>3.00</w:t>
            </w:r>
          </w:p>
        </w:tc>
        <w:tc>
          <w:tcPr>
            <w:tcW w:w="838" w:type="dxa"/>
          </w:tcPr>
          <w:p w14:paraId="3A929B3D">
            <w:pPr>
              <w:pStyle w:val="4"/>
              <w:jc w:val="both"/>
              <w:rPr>
                <w:highlight w:val="none"/>
              </w:rPr>
            </w:pPr>
            <w:r>
              <w:rPr>
                <w:rFonts w:ascii="仿宋_GB2312" w:hAnsi="仿宋_GB2312" w:eastAsia="仿宋_GB2312" w:cs="仿宋_GB2312"/>
                <w:highlight w:val="none"/>
              </w:rPr>
              <w:t>是</w:t>
            </w:r>
          </w:p>
        </w:tc>
        <w:tc>
          <w:tcPr>
            <w:tcW w:w="5158" w:type="dxa"/>
          </w:tcPr>
          <w:p w14:paraId="504FB422">
            <w:pPr>
              <w:pStyle w:val="4"/>
              <w:jc w:val="both"/>
              <w:rPr>
                <w:highlight w:val="none"/>
              </w:rPr>
            </w:pPr>
            <w:r>
              <w:rPr>
                <w:rFonts w:ascii="仿宋_GB2312" w:hAnsi="仿宋_GB2312" w:eastAsia="仿宋_GB2312" w:cs="仿宋_GB2312"/>
                <w:highlight w:val="none"/>
              </w:rPr>
              <w:t>投标人拟派本项目的工程主管：①年龄不满46周岁，具备本科（含）以上学历(须提供学历证明材料复印件)；②持有电气类中级（含）以上职称证书（须提供相关证书复印件）；③持有有效的应急管理部门（或原安全生产监督管理部门）颁发的特种作业操作证（操作项目分别为：高压电工作业、低压电工作业）（须提供证书复印件）；④持有市场监督管理部门（或相关的行政审批部门）颁发的特种设备安全管理和作业人员证（项目代号A）（须提供证书复印件）。同时满足上述条件的得3分。注：投标人另须提供拟派人员身份证复印件（拟派人员身份证信息与招标文件第五章要求提供的身份证不一致的本评分项不得分）以及本项目投标截止时间前6个月（不含投标截止时间当月）中任1个月投标人（不含分公司）为其缴纳社保的证明材料复印件，否则本评分项不得分。注：此评分项与其它评分项中提供的人员不得重复，若有重复，该人员在所涉及的评分项均不得分。</w:t>
            </w:r>
          </w:p>
        </w:tc>
      </w:tr>
      <w:tr w14:paraId="23183F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36" w:type="dxa"/>
          </w:tcPr>
          <w:p w14:paraId="5C130A05">
            <w:pPr>
              <w:pStyle w:val="4"/>
              <w:jc w:val="both"/>
              <w:rPr>
                <w:highlight w:val="none"/>
              </w:rPr>
            </w:pPr>
            <w:r>
              <w:rPr>
                <w:rFonts w:ascii="仿宋_GB2312" w:hAnsi="仿宋_GB2312" w:eastAsia="仿宋_GB2312" w:cs="仿宋_GB2312"/>
                <w:highlight w:val="none"/>
              </w:rPr>
              <w:t>15、绿化主管</w:t>
            </w:r>
          </w:p>
        </w:tc>
        <w:tc>
          <w:tcPr>
            <w:tcW w:w="975" w:type="dxa"/>
          </w:tcPr>
          <w:p w14:paraId="7C2A329E">
            <w:pPr>
              <w:pStyle w:val="4"/>
              <w:jc w:val="right"/>
              <w:rPr>
                <w:highlight w:val="none"/>
              </w:rPr>
            </w:pPr>
            <w:r>
              <w:rPr>
                <w:rFonts w:ascii="仿宋_GB2312" w:hAnsi="仿宋_GB2312" w:eastAsia="仿宋_GB2312" w:cs="仿宋_GB2312"/>
                <w:highlight w:val="none"/>
              </w:rPr>
              <w:t>3.00</w:t>
            </w:r>
          </w:p>
        </w:tc>
        <w:tc>
          <w:tcPr>
            <w:tcW w:w="838" w:type="dxa"/>
          </w:tcPr>
          <w:p w14:paraId="30A22AC6">
            <w:pPr>
              <w:pStyle w:val="4"/>
              <w:jc w:val="both"/>
              <w:rPr>
                <w:highlight w:val="none"/>
              </w:rPr>
            </w:pPr>
            <w:r>
              <w:rPr>
                <w:rFonts w:ascii="仿宋_GB2312" w:hAnsi="仿宋_GB2312" w:eastAsia="仿宋_GB2312" w:cs="仿宋_GB2312"/>
                <w:highlight w:val="none"/>
              </w:rPr>
              <w:t>是</w:t>
            </w:r>
          </w:p>
        </w:tc>
        <w:tc>
          <w:tcPr>
            <w:tcW w:w="5158" w:type="dxa"/>
          </w:tcPr>
          <w:p w14:paraId="3468A46A">
            <w:pPr>
              <w:pStyle w:val="4"/>
              <w:jc w:val="both"/>
              <w:rPr>
                <w:highlight w:val="none"/>
              </w:rPr>
            </w:pPr>
            <w:r>
              <w:rPr>
                <w:rFonts w:ascii="仿宋_GB2312" w:hAnsi="仿宋_GB2312" w:eastAsia="仿宋_GB2312" w:cs="仿宋_GB2312"/>
                <w:highlight w:val="none"/>
              </w:rPr>
              <w:t>投标人拟派的绿化主管：①年龄不满46周岁，具有园林、园艺相关专业本科（含）以上学历(须提供学历证书复印件）；②具有园林类或绿化养护类中级（含）以上职称证书（须提供职称证书复印件）；同时满足以上条件的得3分，证明材料未提供或提供不全的不得分。注：投标人另须提供拟派人员身份证复印件（拟派人员身份证信息与招标文件第五章要求提供的身份证不一致的本评分项不得分）以及本项目投标截止时间前6个月（不含投标截止时间当月）中任1个月投标人（不含分公司）为其缴纳社保的证明材料复印件，否则本评分项不得分。注：此评分项与其它评分项中提供的人员不得重复，若有重复，该人员在所涉及的评分项均不得分。</w:t>
            </w:r>
          </w:p>
        </w:tc>
      </w:tr>
      <w:tr w14:paraId="3882C7F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36" w:type="dxa"/>
          </w:tcPr>
          <w:p w14:paraId="661A6417">
            <w:pPr>
              <w:pStyle w:val="4"/>
              <w:jc w:val="both"/>
              <w:rPr>
                <w:highlight w:val="none"/>
              </w:rPr>
            </w:pPr>
            <w:r>
              <w:rPr>
                <w:rFonts w:ascii="仿宋_GB2312" w:hAnsi="仿宋_GB2312" w:eastAsia="仿宋_GB2312" w:cs="仿宋_GB2312"/>
                <w:highlight w:val="none"/>
              </w:rPr>
              <w:t>16、保洁、宿舍主管</w:t>
            </w:r>
          </w:p>
        </w:tc>
        <w:tc>
          <w:tcPr>
            <w:tcW w:w="975" w:type="dxa"/>
          </w:tcPr>
          <w:p w14:paraId="10E1BFFB">
            <w:pPr>
              <w:pStyle w:val="4"/>
              <w:jc w:val="right"/>
              <w:rPr>
                <w:highlight w:val="none"/>
              </w:rPr>
            </w:pPr>
            <w:r>
              <w:rPr>
                <w:rFonts w:ascii="仿宋_GB2312" w:hAnsi="仿宋_GB2312" w:eastAsia="仿宋_GB2312" w:cs="仿宋_GB2312"/>
                <w:highlight w:val="none"/>
              </w:rPr>
              <w:t>9.00</w:t>
            </w:r>
          </w:p>
        </w:tc>
        <w:tc>
          <w:tcPr>
            <w:tcW w:w="838" w:type="dxa"/>
          </w:tcPr>
          <w:p w14:paraId="5C09B52E">
            <w:pPr>
              <w:pStyle w:val="4"/>
              <w:jc w:val="both"/>
              <w:rPr>
                <w:highlight w:val="none"/>
              </w:rPr>
            </w:pPr>
            <w:r>
              <w:rPr>
                <w:rFonts w:ascii="仿宋_GB2312" w:hAnsi="仿宋_GB2312" w:eastAsia="仿宋_GB2312" w:cs="仿宋_GB2312"/>
                <w:highlight w:val="none"/>
              </w:rPr>
              <w:t>是</w:t>
            </w:r>
          </w:p>
        </w:tc>
        <w:tc>
          <w:tcPr>
            <w:tcW w:w="5158" w:type="dxa"/>
          </w:tcPr>
          <w:p w14:paraId="0368A4E2">
            <w:pPr>
              <w:pStyle w:val="4"/>
              <w:jc w:val="both"/>
              <w:rPr>
                <w:highlight w:val="none"/>
              </w:rPr>
            </w:pPr>
            <w:r>
              <w:rPr>
                <w:rFonts w:ascii="仿宋_GB2312" w:hAnsi="仿宋_GB2312" w:eastAsia="仿宋_GB2312" w:cs="仿宋_GB2312"/>
                <w:highlight w:val="none"/>
              </w:rPr>
              <w:t>投标人拟派本项目的保洁、宿舍主管：①年龄不满46周岁,具备本科（含）以上学历（须提供学历证明材料复印件）；②持有环境类中级（含）以上职称证书或持有消防行业技能鉴定机构颁发的四级（含）以上消防设施操作工作员证书（或建（构）筑物消防员证）（须提供证书复印件）；每提供一名同时满足上述条件的保洁、宿舍主管得3分，满分9分。注：投标人另须提供拟派人员身份证复印件（拟派人员身份证信息与招标文件第五章要求提供的身份证不一致的本评分项不得分）以及本项目投标截止时间前6个月（不含投标截止时间当月）中任1个月投标人（不含分公司）为其缴纳社保的证明材料复印件，否则本评分项不得分。注：此评分项与其它评分项中提供的人员不得重复，若有重复，该人员在所涉及的评分项均不得分。</w:t>
            </w:r>
          </w:p>
        </w:tc>
      </w:tr>
    </w:tbl>
    <w:p w14:paraId="4A35AF51">
      <w:pPr>
        <w:pStyle w:val="4"/>
        <w:jc w:val="both"/>
        <w:rPr>
          <w:highlight w:val="none"/>
        </w:rPr>
      </w:pPr>
      <w:r>
        <w:rPr>
          <w:rFonts w:ascii="仿宋_GB2312" w:hAnsi="仿宋_GB2312" w:eastAsia="仿宋_GB2312" w:cs="仿宋_GB2312"/>
          <w:highlight w:val="none"/>
        </w:rPr>
        <w:t>商务项（F3×A3）满分为23.0000分</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24"/>
        <w:gridCol w:w="975"/>
        <w:gridCol w:w="862"/>
        <w:gridCol w:w="5146"/>
      </w:tblGrid>
      <w:tr w14:paraId="563A30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24" w:type="dxa"/>
          </w:tcPr>
          <w:p w14:paraId="0BC94E1F">
            <w:pPr>
              <w:pStyle w:val="4"/>
              <w:jc w:val="both"/>
              <w:rPr>
                <w:highlight w:val="none"/>
              </w:rPr>
            </w:pPr>
            <w:r>
              <w:rPr>
                <w:rFonts w:ascii="仿宋_GB2312" w:hAnsi="仿宋_GB2312" w:eastAsia="仿宋_GB2312" w:cs="仿宋_GB2312"/>
                <w:highlight w:val="none"/>
              </w:rPr>
              <w:t xml:space="preserve"> 项目</w:t>
            </w:r>
          </w:p>
        </w:tc>
        <w:tc>
          <w:tcPr>
            <w:tcW w:w="975" w:type="dxa"/>
          </w:tcPr>
          <w:p w14:paraId="743E4280">
            <w:pPr>
              <w:pStyle w:val="4"/>
              <w:jc w:val="both"/>
              <w:rPr>
                <w:highlight w:val="none"/>
              </w:rPr>
            </w:pPr>
            <w:r>
              <w:rPr>
                <w:rFonts w:ascii="仿宋_GB2312" w:hAnsi="仿宋_GB2312" w:eastAsia="仿宋_GB2312" w:cs="仿宋_GB2312"/>
                <w:highlight w:val="none"/>
              </w:rPr>
              <w:t xml:space="preserve"> 分值</w:t>
            </w:r>
          </w:p>
        </w:tc>
        <w:tc>
          <w:tcPr>
            <w:tcW w:w="862" w:type="dxa"/>
          </w:tcPr>
          <w:p w14:paraId="2E1A4B65">
            <w:pPr>
              <w:pStyle w:val="4"/>
              <w:jc w:val="both"/>
              <w:rPr>
                <w:highlight w:val="none"/>
              </w:rPr>
            </w:pPr>
            <w:r>
              <w:rPr>
                <w:rFonts w:ascii="仿宋_GB2312" w:hAnsi="仿宋_GB2312" w:eastAsia="仿宋_GB2312" w:cs="仿宋_GB2312"/>
                <w:highlight w:val="none"/>
              </w:rPr>
              <w:t xml:space="preserve"> 是否客观项</w:t>
            </w:r>
          </w:p>
        </w:tc>
        <w:tc>
          <w:tcPr>
            <w:tcW w:w="5146" w:type="dxa"/>
          </w:tcPr>
          <w:p w14:paraId="44C3EB3E">
            <w:pPr>
              <w:pStyle w:val="4"/>
              <w:jc w:val="both"/>
              <w:rPr>
                <w:highlight w:val="none"/>
              </w:rPr>
            </w:pPr>
            <w:r>
              <w:rPr>
                <w:rFonts w:ascii="仿宋_GB2312" w:hAnsi="仿宋_GB2312" w:eastAsia="仿宋_GB2312" w:cs="仿宋_GB2312"/>
                <w:highlight w:val="none"/>
              </w:rPr>
              <w:t xml:space="preserve"> 描述</w:t>
            </w:r>
          </w:p>
        </w:tc>
      </w:tr>
      <w:tr w14:paraId="6263D2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24" w:type="dxa"/>
          </w:tcPr>
          <w:p w14:paraId="5A05E90F">
            <w:pPr>
              <w:pStyle w:val="4"/>
              <w:jc w:val="left"/>
              <w:rPr>
                <w:highlight w:val="none"/>
              </w:rPr>
            </w:pPr>
            <w:r>
              <w:rPr>
                <w:rFonts w:ascii="仿宋_GB2312" w:hAnsi="仿宋_GB2312" w:eastAsia="仿宋_GB2312" w:cs="仿宋_GB2312"/>
                <w:highlight w:val="none"/>
              </w:rPr>
              <w:t>1、同类业绩</w:t>
            </w:r>
          </w:p>
        </w:tc>
        <w:tc>
          <w:tcPr>
            <w:tcW w:w="975" w:type="dxa"/>
          </w:tcPr>
          <w:p w14:paraId="2965A276">
            <w:pPr>
              <w:pStyle w:val="4"/>
              <w:jc w:val="right"/>
              <w:rPr>
                <w:highlight w:val="none"/>
              </w:rPr>
            </w:pPr>
            <w:r>
              <w:rPr>
                <w:rFonts w:ascii="仿宋_GB2312" w:hAnsi="仿宋_GB2312" w:eastAsia="仿宋_GB2312" w:cs="仿宋_GB2312"/>
                <w:highlight w:val="none"/>
              </w:rPr>
              <w:t>4.00</w:t>
            </w:r>
          </w:p>
        </w:tc>
        <w:tc>
          <w:tcPr>
            <w:tcW w:w="862" w:type="dxa"/>
          </w:tcPr>
          <w:p w14:paraId="3D0BDEDB">
            <w:pPr>
              <w:pStyle w:val="4"/>
              <w:jc w:val="left"/>
              <w:rPr>
                <w:highlight w:val="none"/>
              </w:rPr>
            </w:pPr>
            <w:r>
              <w:rPr>
                <w:rFonts w:ascii="仿宋_GB2312" w:hAnsi="仿宋_GB2312" w:eastAsia="仿宋_GB2312" w:cs="仿宋_GB2312"/>
                <w:highlight w:val="none"/>
              </w:rPr>
              <w:t>是</w:t>
            </w:r>
          </w:p>
        </w:tc>
        <w:tc>
          <w:tcPr>
            <w:tcW w:w="5146" w:type="dxa"/>
          </w:tcPr>
          <w:p w14:paraId="15AC4449">
            <w:pPr>
              <w:pStyle w:val="4"/>
              <w:jc w:val="left"/>
              <w:rPr>
                <w:highlight w:val="none"/>
              </w:rPr>
            </w:pPr>
            <w:r>
              <w:rPr>
                <w:rFonts w:ascii="仿宋_GB2312" w:hAnsi="仿宋_GB2312" w:eastAsia="仿宋_GB2312" w:cs="仿宋_GB2312"/>
                <w:highlight w:val="none"/>
              </w:rPr>
              <w:t>根据投标人提供的2021年1月1日（含）至本次投标截止日期（日期以验收完毕时间为准），已完成的非住宅类物业服务（服务内容包含保洁、楼宇（宿舍）管理、零星修缮、垃圾清运、绿化养护、会务服务/综合管理服务、设施设备日常巡查和保养7项业态中的4项（含）以上）政府采购项目业绩情况进行打分，每提供1项有效业绩得1分，满分4分。须提供有效证明材料：①投标人须列表并提供该业绩项目中标公告（提供相关网站中标公告的下载网页并注明网址）、②中标通知书复印件、③采购合同复印件、④能够证明该业绩项目经业主单位整体验收/考核合格的相关证明文件复印件。所有材料缺一不可，否则不得分。此评分项与“履约经验”、“用户满意度”、“文明荣誉”评分项中提供的合同为同一业主单位的不重复得分。此评分项同一业主不同年度物业服务的不重复得分。</w:t>
            </w:r>
          </w:p>
        </w:tc>
      </w:tr>
      <w:tr w14:paraId="7CA383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24" w:type="dxa"/>
          </w:tcPr>
          <w:p w14:paraId="6C4B4003">
            <w:pPr>
              <w:pStyle w:val="4"/>
              <w:jc w:val="left"/>
              <w:rPr>
                <w:highlight w:val="none"/>
              </w:rPr>
            </w:pPr>
            <w:r>
              <w:rPr>
                <w:rFonts w:ascii="仿宋_GB2312" w:hAnsi="仿宋_GB2312" w:eastAsia="仿宋_GB2312" w:cs="仿宋_GB2312"/>
                <w:highlight w:val="none"/>
              </w:rPr>
              <w:t>2、用户满意度</w:t>
            </w:r>
          </w:p>
        </w:tc>
        <w:tc>
          <w:tcPr>
            <w:tcW w:w="975" w:type="dxa"/>
          </w:tcPr>
          <w:p w14:paraId="3E44BA29">
            <w:pPr>
              <w:pStyle w:val="4"/>
              <w:jc w:val="right"/>
              <w:rPr>
                <w:highlight w:val="none"/>
              </w:rPr>
            </w:pPr>
            <w:r>
              <w:rPr>
                <w:rFonts w:ascii="仿宋_GB2312" w:hAnsi="仿宋_GB2312" w:eastAsia="仿宋_GB2312" w:cs="仿宋_GB2312"/>
                <w:highlight w:val="none"/>
              </w:rPr>
              <w:t>4.00</w:t>
            </w:r>
          </w:p>
        </w:tc>
        <w:tc>
          <w:tcPr>
            <w:tcW w:w="862" w:type="dxa"/>
          </w:tcPr>
          <w:p w14:paraId="0EBCD0A9">
            <w:pPr>
              <w:pStyle w:val="4"/>
              <w:jc w:val="left"/>
              <w:rPr>
                <w:highlight w:val="none"/>
              </w:rPr>
            </w:pPr>
            <w:r>
              <w:rPr>
                <w:rFonts w:ascii="仿宋_GB2312" w:hAnsi="仿宋_GB2312" w:eastAsia="仿宋_GB2312" w:cs="仿宋_GB2312"/>
                <w:highlight w:val="none"/>
              </w:rPr>
              <w:t>是</w:t>
            </w:r>
          </w:p>
        </w:tc>
        <w:tc>
          <w:tcPr>
            <w:tcW w:w="5146" w:type="dxa"/>
          </w:tcPr>
          <w:p w14:paraId="50F80555">
            <w:pPr>
              <w:pStyle w:val="4"/>
              <w:jc w:val="left"/>
              <w:rPr>
                <w:highlight w:val="none"/>
              </w:rPr>
            </w:pPr>
            <w:r>
              <w:rPr>
                <w:rFonts w:ascii="仿宋_GB2312" w:hAnsi="仿宋_GB2312" w:eastAsia="仿宋_GB2312" w:cs="仿宋_GB2312"/>
                <w:highlight w:val="none"/>
              </w:rPr>
              <w:t>根据投标人提供的2021年1月1日（含）至本次投标截止日期（日期以合同签订时间为准），已完成或正在履约的非住宅类物业服务（服务内容包含保洁、楼宇（宿舍）管理、零星修缮、垃圾清运、绿化养护、会务服务/综合管理服务、设施设备日常巡查和保养7项业态中的4项（含）以上）政府采购项目满意度情况进行评分，每提供一项得1分，满分4分。须提供有效证明材料：①所涉及项目中标公告（提供相关网站中标公告的下载网页并注明网址）、②中标通知书复印件、③采购合同复印件、④已完成物业服务政府采购项目还须提供能够证明该项目经采购人整体验收/考核合格的相关证明文件复印件、⑤满意度证明材料（满意度评价为“优秀”或“满意”或“评分为90分（含）以上”）。注：所有材料缺一不可，否则不得分。此评分项与“同类业绩”、“履约经验”、“文明荣誉”评分项中提供的合同为同一业主单位的不重复得分。此评分项同一业主不同年度物业服务的不重复得分。</w:t>
            </w:r>
          </w:p>
        </w:tc>
      </w:tr>
      <w:tr w14:paraId="4CF2CB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24" w:type="dxa"/>
          </w:tcPr>
          <w:p w14:paraId="708AF93C">
            <w:pPr>
              <w:pStyle w:val="4"/>
              <w:jc w:val="left"/>
              <w:rPr>
                <w:highlight w:val="none"/>
              </w:rPr>
            </w:pPr>
            <w:r>
              <w:rPr>
                <w:rFonts w:ascii="仿宋_GB2312" w:hAnsi="仿宋_GB2312" w:eastAsia="仿宋_GB2312" w:cs="仿宋_GB2312"/>
                <w:highlight w:val="none"/>
              </w:rPr>
              <w:t>3、履约经验</w:t>
            </w:r>
          </w:p>
        </w:tc>
        <w:tc>
          <w:tcPr>
            <w:tcW w:w="975" w:type="dxa"/>
          </w:tcPr>
          <w:p w14:paraId="38FB50F3">
            <w:pPr>
              <w:pStyle w:val="4"/>
              <w:jc w:val="right"/>
              <w:rPr>
                <w:highlight w:val="none"/>
              </w:rPr>
            </w:pPr>
            <w:r>
              <w:rPr>
                <w:rFonts w:ascii="仿宋_GB2312" w:hAnsi="仿宋_GB2312" w:eastAsia="仿宋_GB2312" w:cs="仿宋_GB2312"/>
                <w:highlight w:val="none"/>
              </w:rPr>
              <w:t>4.00</w:t>
            </w:r>
          </w:p>
        </w:tc>
        <w:tc>
          <w:tcPr>
            <w:tcW w:w="862" w:type="dxa"/>
          </w:tcPr>
          <w:p w14:paraId="6CB3D448">
            <w:pPr>
              <w:pStyle w:val="4"/>
              <w:jc w:val="left"/>
              <w:rPr>
                <w:highlight w:val="none"/>
              </w:rPr>
            </w:pPr>
            <w:r>
              <w:rPr>
                <w:rFonts w:ascii="仿宋_GB2312" w:hAnsi="仿宋_GB2312" w:eastAsia="仿宋_GB2312" w:cs="仿宋_GB2312"/>
                <w:highlight w:val="none"/>
              </w:rPr>
              <w:t>是</w:t>
            </w:r>
          </w:p>
        </w:tc>
        <w:tc>
          <w:tcPr>
            <w:tcW w:w="5146" w:type="dxa"/>
          </w:tcPr>
          <w:p w14:paraId="3FCB53B5">
            <w:pPr>
              <w:pStyle w:val="4"/>
              <w:jc w:val="left"/>
              <w:rPr>
                <w:highlight w:val="none"/>
              </w:rPr>
            </w:pPr>
            <w:r>
              <w:rPr>
                <w:rFonts w:ascii="仿宋_GB2312" w:hAnsi="仿宋_GB2312" w:eastAsia="仿宋_GB2312" w:cs="仿宋_GB2312"/>
                <w:highlight w:val="none"/>
              </w:rPr>
              <w:t>根据投标人提供的自2021年1月1日（含）至本项目投标截止时间止（日期以合同签订时间为准），仍在履约的非住宅类物业服务（服务内容包含保洁、楼宇（宿舍）管理、零星修缮、垃圾清运、绿化养护、会务服务/综合管理服务、设施设备日常巡查和保养7项业态中的4项（含）以上）政府采购项目进行评分。每提供1个得1分，满分4分。须提供以下证明材料：①所涉及项目中标公告（提供相关网站中标公告的下载网页截图并注明网址）； ②中标（成交）通知书复印件； ③采购合同或采购合同关键页复印件（关键页体现双方单位名称、合同期限、服务内容、签章页）。注：所有材料缺一不可，否则不得分。此评分项与“同类业绩”、“用户满意度”、“文明荣誉”评分项中提供的合同为同一业主单位的不重复得分。此评分项同一业主不同年度物业服务的不重复得分。</w:t>
            </w:r>
          </w:p>
        </w:tc>
      </w:tr>
      <w:tr w14:paraId="4FB16F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24" w:type="dxa"/>
          </w:tcPr>
          <w:p w14:paraId="5A99F770">
            <w:pPr>
              <w:pStyle w:val="4"/>
              <w:jc w:val="left"/>
              <w:rPr>
                <w:highlight w:val="none"/>
              </w:rPr>
            </w:pPr>
            <w:r>
              <w:rPr>
                <w:rFonts w:ascii="仿宋_GB2312" w:hAnsi="仿宋_GB2312" w:eastAsia="仿宋_GB2312" w:cs="仿宋_GB2312"/>
                <w:highlight w:val="none"/>
              </w:rPr>
              <w:t>4、文明荣誉</w:t>
            </w:r>
          </w:p>
        </w:tc>
        <w:tc>
          <w:tcPr>
            <w:tcW w:w="975" w:type="dxa"/>
          </w:tcPr>
          <w:p w14:paraId="30A6E7F7">
            <w:pPr>
              <w:pStyle w:val="4"/>
              <w:jc w:val="right"/>
              <w:rPr>
                <w:highlight w:val="none"/>
              </w:rPr>
            </w:pPr>
            <w:r>
              <w:rPr>
                <w:rFonts w:ascii="仿宋_GB2312" w:hAnsi="仿宋_GB2312" w:eastAsia="仿宋_GB2312" w:cs="仿宋_GB2312"/>
                <w:highlight w:val="none"/>
              </w:rPr>
              <w:t>5.00</w:t>
            </w:r>
          </w:p>
        </w:tc>
        <w:tc>
          <w:tcPr>
            <w:tcW w:w="862" w:type="dxa"/>
          </w:tcPr>
          <w:p w14:paraId="63574FBF">
            <w:pPr>
              <w:pStyle w:val="4"/>
              <w:jc w:val="left"/>
              <w:rPr>
                <w:highlight w:val="none"/>
              </w:rPr>
            </w:pPr>
            <w:r>
              <w:rPr>
                <w:rFonts w:ascii="仿宋_GB2312" w:hAnsi="仿宋_GB2312" w:eastAsia="仿宋_GB2312" w:cs="仿宋_GB2312"/>
                <w:highlight w:val="none"/>
              </w:rPr>
              <w:t>是</w:t>
            </w:r>
          </w:p>
        </w:tc>
        <w:tc>
          <w:tcPr>
            <w:tcW w:w="5146" w:type="dxa"/>
          </w:tcPr>
          <w:p w14:paraId="17838061">
            <w:pPr>
              <w:pStyle w:val="4"/>
              <w:jc w:val="left"/>
              <w:rPr>
                <w:highlight w:val="none"/>
              </w:rPr>
            </w:pPr>
            <w:r>
              <w:rPr>
                <w:rFonts w:ascii="仿宋_GB2312" w:hAnsi="仿宋_GB2312" w:eastAsia="仿宋_GB2312" w:cs="仿宋_GB2312"/>
                <w:highlight w:val="none"/>
              </w:rPr>
              <w:t>标人自2020年1月1日（含）至本项目投标截止时间止已完成（日期以合同中服务结束时间为准）或正在履约（日期以合同中服务期限为准）的非住宅类物业服务（服务内容包含保洁、楼宇（宿舍）管理、零星修缮、垃圾清运、绿化养护、会务服务/综合管理服务、设施设备日常巡查和保养7项业态中的4项（含）以上）政府采购项目，在服务期内协助业主单位争创并获得文明单位或文明校园荣誉的，每提供一项协助获得国家级荣誉的证明材料得2分，每提供一项协助获得省、市级荣誉的证明材料得1分，本项满分5分。 须提供：①涉及服务项目的中标公告（提供相关网站中标公告的下载网页截图并注明网址）；②中标通知书复印件；③合同或合同关键页复印件（关键页应能体现双方单位名称、合同期限、服务内容、签章页）；④获奖荣誉证书复印件或获奖牌匾照片或颁发单位公告文件或能看到网址的网站证明截图。注：合同服务期须在文明荣誉评选周期内（或包含评选周期或与评选周期有交叉）；文明荣誉标有年度的以年度为准，未标有年度的以评选周期为准。此评分项与“同类业绩”、“用户满意度”、“履约经验”评分项中提供的合同为同一业主单位的不重复得分。注：同一项目获得多个荣誉不得累加计分，只计最高荣誉得分。</w:t>
            </w:r>
          </w:p>
        </w:tc>
      </w:tr>
      <w:tr w14:paraId="4E6967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24" w:type="dxa"/>
          </w:tcPr>
          <w:p w14:paraId="5E68C2B2">
            <w:pPr>
              <w:pStyle w:val="4"/>
              <w:jc w:val="left"/>
              <w:rPr>
                <w:highlight w:val="none"/>
              </w:rPr>
            </w:pPr>
            <w:r>
              <w:rPr>
                <w:rFonts w:ascii="仿宋_GB2312" w:hAnsi="仿宋_GB2312" w:eastAsia="仿宋_GB2312" w:cs="仿宋_GB2312"/>
                <w:highlight w:val="none"/>
              </w:rPr>
              <w:t>5、用工保险</w:t>
            </w:r>
          </w:p>
        </w:tc>
        <w:tc>
          <w:tcPr>
            <w:tcW w:w="975" w:type="dxa"/>
          </w:tcPr>
          <w:p w14:paraId="6FAD05EE">
            <w:pPr>
              <w:pStyle w:val="4"/>
              <w:jc w:val="right"/>
              <w:rPr>
                <w:highlight w:val="none"/>
              </w:rPr>
            </w:pPr>
            <w:r>
              <w:rPr>
                <w:rFonts w:ascii="仿宋_GB2312" w:hAnsi="仿宋_GB2312" w:eastAsia="仿宋_GB2312" w:cs="仿宋_GB2312"/>
                <w:highlight w:val="none"/>
              </w:rPr>
              <w:t>3.00</w:t>
            </w:r>
          </w:p>
        </w:tc>
        <w:tc>
          <w:tcPr>
            <w:tcW w:w="862" w:type="dxa"/>
          </w:tcPr>
          <w:p w14:paraId="3107FAE7">
            <w:pPr>
              <w:pStyle w:val="4"/>
              <w:jc w:val="left"/>
              <w:rPr>
                <w:highlight w:val="none"/>
              </w:rPr>
            </w:pPr>
            <w:r>
              <w:rPr>
                <w:rFonts w:ascii="仿宋_GB2312" w:hAnsi="仿宋_GB2312" w:eastAsia="仿宋_GB2312" w:cs="仿宋_GB2312"/>
                <w:highlight w:val="none"/>
              </w:rPr>
              <w:t>是</w:t>
            </w:r>
          </w:p>
        </w:tc>
        <w:tc>
          <w:tcPr>
            <w:tcW w:w="5146" w:type="dxa"/>
          </w:tcPr>
          <w:p w14:paraId="40ABBE35">
            <w:pPr>
              <w:pStyle w:val="4"/>
              <w:jc w:val="left"/>
              <w:rPr>
                <w:highlight w:val="none"/>
              </w:rPr>
            </w:pPr>
            <w:r>
              <w:rPr>
                <w:rFonts w:ascii="仿宋_GB2312" w:hAnsi="仿宋_GB2312" w:eastAsia="仿宋_GB2312" w:cs="仿宋_GB2312"/>
                <w:highlight w:val="none"/>
              </w:rPr>
              <w:t>根据投标人承诺中标后为本项目投入的所有人员（每人）购买意外伤害保险或雇主责任险的保额情况进行评分，保额≥100万元的得3分；100万元＞保额≥80万元的得2分；80万元＞保额≥60万元的得1分；保额＜60万元的不得分。须提供承诺函且承诺为本项目投入的所有人员购买的意外伤害险或雇主责任险的保障日期不少于本项目合同服务期，未提供的不得分。</w:t>
            </w:r>
          </w:p>
        </w:tc>
      </w:tr>
      <w:tr w14:paraId="3CA052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24" w:type="dxa"/>
          </w:tcPr>
          <w:p w14:paraId="34AAF337">
            <w:pPr>
              <w:pStyle w:val="4"/>
              <w:jc w:val="left"/>
              <w:rPr>
                <w:highlight w:val="none"/>
              </w:rPr>
            </w:pPr>
            <w:r>
              <w:rPr>
                <w:rFonts w:ascii="仿宋_GB2312" w:hAnsi="仿宋_GB2312" w:eastAsia="仿宋_GB2312" w:cs="仿宋_GB2312"/>
                <w:highlight w:val="none"/>
              </w:rPr>
              <w:t>6、体系认证</w:t>
            </w:r>
          </w:p>
        </w:tc>
        <w:tc>
          <w:tcPr>
            <w:tcW w:w="975" w:type="dxa"/>
          </w:tcPr>
          <w:p w14:paraId="70B9A195">
            <w:pPr>
              <w:pStyle w:val="4"/>
              <w:jc w:val="right"/>
              <w:rPr>
                <w:highlight w:val="none"/>
              </w:rPr>
            </w:pPr>
            <w:r>
              <w:rPr>
                <w:rFonts w:ascii="仿宋_GB2312" w:hAnsi="仿宋_GB2312" w:eastAsia="仿宋_GB2312" w:cs="仿宋_GB2312"/>
                <w:highlight w:val="none"/>
              </w:rPr>
              <w:t>3.00</w:t>
            </w:r>
          </w:p>
        </w:tc>
        <w:tc>
          <w:tcPr>
            <w:tcW w:w="862" w:type="dxa"/>
          </w:tcPr>
          <w:p w14:paraId="03BC616A">
            <w:pPr>
              <w:pStyle w:val="4"/>
              <w:jc w:val="left"/>
              <w:rPr>
                <w:highlight w:val="none"/>
              </w:rPr>
            </w:pPr>
            <w:r>
              <w:rPr>
                <w:rFonts w:ascii="仿宋_GB2312" w:hAnsi="仿宋_GB2312" w:eastAsia="仿宋_GB2312" w:cs="仿宋_GB2312"/>
                <w:highlight w:val="none"/>
              </w:rPr>
              <w:t>是</w:t>
            </w:r>
          </w:p>
        </w:tc>
        <w:tc>
          <w:tcPr>
            <w:tcW w:w="5146" w:type="dxa"/>
          </w:tcPr>
          <w:p w14:paraId="15C98AA5">
            <w:pPr>
              <w:pStyle w:val="4"/>
              <w:jc w:val="left"/>
              <w:rPr>
                <w:highlight w:val="none"/>
              </w:rPr>
            </w:pPr>
            <w:r>
              <w:rPr>
                <w:rFonts w:ascii="仿宋_GB2312" w:hAnsi="仿宋_GB2312" w:eastAsia="仿宋_GB2312" w:cs="仿宋_GB2312"/>
                <w:highlight w:val="none"/>
              </w:rPr>
              <w:t>投标人具有有效的①质量管理体系认证（GB/T 19001-2016/ISO9001：2015）证书、②环境管理体系认证（GB/T 24001-2016/ISO14001：2015）证书、③职业健康安全管理体系认证（GB/T 45001-2020/ISO45001：2018）证书；且认证范围与物业管理服务相关的，每提供一项有效体系认证证书得1分，满分3分。须提供有效体系认证证书复印件，评标委员会将通过中国国家认证认可监督管理委员会(http：//www.cnca.gov.cn)或中国合格评定国家认可委员会(https：//www.cnas.org.cn)网站查询所提供证书的有效性。若投标人提供的证书复印件中信息与所查询的信息不一致的，本项不得分。注：投标人提供的证明材料中载明的标准与本评分项注明标准不一致的，本项不得分。</w:t>
            </w:r>
          </w:p>
        </w:tc>
      </w:tr>
    </w:tbl>
    <w:p w14:paraId="4D6CB1E2">
      <w:pPr>
        <w:pStyle w:val="4"/>
        <w:jc w:val="both"/>
        <w:rPr>
          <w:highlight w:val="none"/>
        </w:rPr>
      </w:pPr>
      <w:r>
        <w:rPr>
          <w:rFonts w:ascii="仿宋_GB2312" w:hAnsi="仿宋_GB2312" w:eastAsia="仿宋_GB2312" w:cs="仿宋_GB2312"/>
          <w:highlight w:val="none"/>
        </w:rPr>
        <w:t>※除本章第6.3条第（3）款规定情形和落实政府采购政策需进行的价格扣除情形外，不能对投标人的投标报价进行任何调整。</w:t>
      </w:r>
    </w:p>
    <w:p w14:paraId="70A78CEA">
      <w:pPr>
        <w:pStyle w:val="4"/>
        <w:jc w:val="both"/>
        <w:rPr>
          <w:highlight w:val="none"/>
        </w:rPr>
      </w:pPr>
      <w:r>
        <w:rPr>
          <w:rFonts w:ascii="仿宋_GB2312" w:hAnsi="仿宋_GB2312" w:eastAsia="仿宋_GB2312" w:cs="仿宋_GB2312"/>
          <w:highlight w:val="none"/>
        </w:rPr>
        <w:t>（3）中标候选人排列规则顺序如下：</w:t>
      </w:r>
    </w:p>
    <w:p w14:paraId="68F2A771">
      <w:pPr>
        <w:pStyle w:val="4"/>
        <w:jc w:val="both"/>
        <w:rPr>
          <w:highlight w:val="none"/>
        </w:rPr>
      </w:pPr>
      <w:r>
        <w:rPr>
          <w:rFonts w:ascii="仿宋_GB2312" w:hAnsi="仿宋_GB2312" w:eastAsia="仿宋_GB2312" w:cs="仿宋_GB2312"/>
          <w:highlight w:val="none"/>
        </w:rPr>
        <w:t>a.按照评标总得分（FA）由高到低顺序排列。</w:t>
      </w:r>
    </w:p>
    <w:p w14:paraId="25F6FEA3">
      <w:pPr>
        <w:pStyle w:val="4"/>
        <w:jc w:val="both"/>
        <w:rPr>
          <w:highlight w:val="none"/>
        </w:rPr>
      </w:pPr>
      <w:r>
        <w:rPr>
          <w:rFonts w:ascii="仿宋_GB2312" w:hAnsi="仿宋_GB2312" w:eastAsia="仿宋_GB2312" w:cs="仿宋_GB2312"/>
          <w:highlight w:val="none"/>
        </w:rPr>
        <w:t>b.评标总得分（FA）相同的，按照评标价（即价格扣除后的投标报价）由低到高顺序排列。</w:t>
      </w:r>
    </w:p>
    <w:p w14:paraId="7CDE8A2E">
      <w:pPr>
        <w:pStyle w:val="4"/>
        <w:jc w:val="both"/>
        <w:rPr>
          <w:highlight w:val="none"/>
        </w:rPr>
      </w:pPr>
      <w:r>
        <w:rPr>
          <w:rFonts w:ascii="仿宋_GB2312" w:hAnsi="仿宋_GB2312" w:eastAsia="仿宋_GB2312" w:cs="仿宋_GB2312"/>
          <w:highlight w:val="none"/>
        </w:rPr>
        <w:t>c.评标总得分（FA）且评标价（即价格扣除后的投标报价）相同的并列。</w:t>
      </w:r>
    </w:p>
    <w:p w14:paraId="6291AFF6">
      <w:pPr>
        <w:pStyle w:val="4"/>
        <w:ind w:firstLine="480"/>
        <w:jc w:val="both"/>
        <w:rPr>
          <w:highlight w:val="none"/>
        </w:rPr>
      </w:pPr>
      <w:r>
        <w:rPr>
          <w:rFonts w:ascii="仿宋_GB2312" w:hAnsi="仿宋_GB2312" w:eastAsia="仿宋_GB2312" w:cs="仿宋_GB2312"/>
          <w:highlight w:val="none"/>
        </w:rPr>
        <w:t>8、其他规定</w:t>
      </w:r>
    </w:p>
    <w:p w14:paraId="1363B2CA">
      <w:pPr>
        <w:pStyle w:val="4"/>
        <w:ind w:firstLine="480"/>
        <w:jc w:val="both"/>
        <w:rPr>
          <w:highlight w:val="none"/>
        </w:rPr>
      </w:pPr>
      <w:r>
        <w:rPr>
          <w:rFonts w:ascii="仿宋_GB2312" w:hAnsi="仿宋_GB2312" w:eastAsia="仿宋_GB2312" w:cs="仿宋_GB2312"/>
          <w:highlight w:val="none"/>
        </w:rPr>
        <w:t>8.1评标应全程保密且不得透露给任一投标人或与评标工作无关的人员。</w:t>
      </w:r>
    </w:p>
    <w:p w14:paraId="13AA7E09">
      <w:pPr>
        <w:pStyle w:val="4"/>
        <w:ind w:firstLine="480"/>
        <w:jc w:val="both"/>
        <w:rPr>
          <w:highlight w:val="none"/>
        </w:rPr>
      </w:pPr>
      <w:r>
        <w:rPr>
          <w:rFonts w:ascii="仿宋_GB2312" w:hAnsi="仿宋_GB2312" w:eastAsia="仿宋_GB2312" w:cs="仿宋_GB2312"/>
          <w:highlight w:val="none"/>
        </w:rPr>
        <w:t>8.2评标将进行全程实时录音录像，录音录像资料随采购文件一并存档。</w:t>
      </w:r>
    </w:p>
    <w:p w14:paraId="3592C4D6">
      <w:pPr>
        <w:pStyle w:val="4"/>
        <w:ind w:firstLine="480"/>
        <w:jc w:val="both"/>
        <w:rPr>
          <w:highlight w:val="none"/>
        </w:rPr>
      </w:pPr>
      <w:r>
        <w:rPr>
          <w:rFonts w:ascii="仿宋_GB2312" w:hAnsi="仿宋_GB2312" w:eastAsia="仿宋_GB2312" w:cs="仿宋_GB2312"/>
          <w:highlight w:val="none"/>
        </w:rPr>
        <w:t>8.3若投标人有任何试图干扰具体评标事务，影响评标委员会独立履行职责的行为，其投标无效且不予退还投标保证金或通过投标保函进行索赔。情节严重的，由财政部门列入不良行为记录。</w:t>
      </w:r>
    </w:p>
    <w:p w14:paraId="3723E761">
      <w:pPr>
        <w:pStyle w:val="4"/>
        <w:ind w:firstLine="480"/>
        <w:jc w:val="both"/>
        <w:rPr>
          <w:highlight w:val="none"/>
        </w:rPr>
      </w:pPr>
      <w:r>
        <w:rPr>
          <w:rFonts w:ascii="仿宋_GB2312" w:hAnsi="仿宋_GB2312" w:eastAsia="仿宋_GB2312" w:cs="仿宋_GB2312"/>
          <w:highlight w:val="none"/>
        </w:rPr>
        <w:t>8.4其他：</w:t>
      </w:r>
    </w:p>
    <w:p w14:paraId="626E4F5F">
      <w:pPr>
        <w:pStyle w:val="4"/>
        <w:ind w:firstLine="480"/>
        <w:jc w:val="both"/>
        <w:rPr>
          <w:highlight w:val="none"/>
        </w:rPr>
      </w:pPr>
      <w:r>
        <w:rPr>
          <w:rFonts w:ascii="仿宋_GB2312" w:hAnsi="仿宋_GB2312" w:eastAsia="仿宋_GB2312" w:cs="仿宋_GB2312"/>
          <w:highlight w:val="none"/>
        </w:rPr>
        <w:t>根据财办库〔2024〕265号文件及《福建省财政厅 福建自贸办关于在中国（福建）自由贸易试验区做好推动解决政府采购异常低价问题试点工作的通知》，中国（福建）自由贸易试验区采购人在其采政府购项目评审中出现下列情形之一的，评审委员会应当启动异常低价投标（响应）审查程序：（一）投标（响应）报价低于全部通过符合性审查供应商投标（响应）报价平均值50%的，即投标（响应）报价&lt;全部通过符合性审查供应商投标（响应）报价平均值×50%；（二）投标（响应）报价低于通过符合性审查且报价次低供应商投标（响应）报价50%的，即投标（响应）报价&lt;通过符合性审查且报价次低供应商投标（响应）报价×50%；（三）投标（响应）报价低于采购项目最高限价45%的，即投标（响应）报价&lt;采购项目最高限价×45%；（四）其他评审委员会认为供应商报价过低，有可能影响产品质量或者不能诚信履约的情形。评审委员会启动异常低价投标（响应）审查后，应当要求相关供应商在评审现场合理的时间内提供书面说明及必要的证明材料，对投标（响应）价格作出解释。书面说明、证明材料主要是项目具体成本测算等与报价合理性相关的说明、材料。 评审委员会应当结合同类产品在主要电商平台的价格、该行业当地薪资水平等情况，依据专业经验对报价合理性进行判断。如果投标（响应）供应商不提供书面说明、证明材料，或者提供的书面说明、证明材料不能证明其报价合理性的，应当将其作为无效投标（响应）处理。审查相关情况应当在评审报告中记录。</w:t>
      </w:r>
    </w:p>
    <w:p w14:paraId="0D0B9D06">
      <w:pPr>
        <w:pStyle w:val="4"/>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0C5102C7">
      <w:pPr>
        <w:pStyle w:val="4"/>
        <w:jc w:val="center"/>
        <w:outlineLvl w:val="1"/>
        <w:rPr>
          <w:highlight w:val="none"/>
        </w:rPr>
      </w:pPr>
      <w:r>
        <w:rPr>
          <w:rFonts w:ascii="仿宋_GB2312" w:hAnsi="仿宋_GB2312" w:eastAsia="仿宋_GB2312" w:cs="仿宋_GB2312"/>
          <w:b/>
          <w:sz w:val="36"/>
          <w:highlight w:val="none"/>
        </w:rPr>
        <w:t>第五章 招标内容及要求</w:t>
      </w:r>
    </w:p>
    <w:p w14:paraId="7BFD65F3">
      <w:pPr>
        <w:pStyle w:val="4"/>
        <w:jc w:val="both"/>
        <w:outlineLvl w:val="2"/>
        <w:rPr>
          <w:highlight w:val="none"/>
        </w:rPr>
      </w:pPr>
      <w:r>
        <w:rPr>
          <w:rFonts w:ascii="仿宋_GB2312" w:hAnsi="仿宋_GB2312" w:eastAsia="仿宋_GB2312" w:cs="仿宋_GB2312"/>
          <w:b/>
          <w:sz w:val="28"/>
          <w:highlight w:val="none"/>
        </w:rPr>
        <w:t>一、项目概况（采购标的）</w:t>
      </w:r>
    </w:p>
    <w:p w14:paraId="21D97EFF">
      <w:pPr>
        <w:pStyle w:val="4"/>
        <w:ind w:firstLine="480"/>
        <w:jc w:val="both"/>
        <w:rPr>
          <w:highlight w:val="none"/>
        </w:rPr>
      </w:pPr>
      <w:r>
        <w:rPr>
          <w:rFonts w:ascii="仿宋_GB2312" w:hAnsi="仿宋_GB2312" w:eastAsia="仿宋_GB2312" w:cs="仿宋_GB2312"/>
          <w:b/>
          <w:color w:val="000000"/>
          <w:sz w:val="24"/>
          <w:highlight w:val="none"/>
          <w:shd w:val="clear" w:fill="FFFFFF"/>
        </w:rPr>
        <w:t>（一）项目情况说明</w:t>
      </w:r>
    </w:p>
    <w:p w14:paraId="035C21D6">
      <w:pPr>
        <w:pStyle w:val="4"/>
        <w:ind w:firstLine="480"/>
        <w:jc w:val="left"/>
        <w:rPr>
          <w:highlight w:val="none"/>
        </w:rPr>
      </w:pPr>
      <w:r>
        <w:rPr>
          <w:rFonts w:ascii="仿宋_GB2312" w:hAnsi="仿宋_GB2312" w:eastAsia="仿宋_GB2312" w:cs="仿宋_GB2312"/>
          <w:color w:val="000000"/>
          <w:sz w:val="24"/>
          <w:highlight w:val="none"/>
        </w:rPr>
        <w:t>2022-2025年学院物业采用分项招标，自主管理模式，各项服务将于2025年10月到期，为简化管理流程、提升风险应对能力，拟采购物业管理服务，服务期12个月，服务内容主要包含校园卫生保洁服务、化粪池清理、水池清洗消毒及水质检测、垃圾分类及清运、学生宿舍管理、绿化养护服务、零星维修、会务服务、设施设备日常巡查和保养、综合服务等。本项目所属行业：物业管理。</w:t>
      </w:r>
    </w:p>
    <w:p w14:paraId="0431BC58">
      <w:pPr>
        <w:pStyle w:val="4"/>
        <w:spacing w:after="120"/>
        <w:ind w:right="-285" w:firstLine="482"/>
        <w:jc w:val="left"/>
        <w:rPr>
          <w:highlight w:val="none"/>
        </w:rPr>
      </w:pPr>
      <w:r>
        <w:rPr>
          <w:rFonts w:ascii="仿宋_GB2312" w:hAnsi="仿宋_GB2312" w:eastAsia="仿宋_GB2312" w:cs="仿宋_GB2312"/>
          <w:b/>
          <w:color w:val="000000"/>
          <w:sz w:val="24"/>
          <w:highlight w:val="none"/>
          <w:shd w:val="clear" w:fill="FFFFFF"/>
        </w:rPr>
        <w:t>（二）校区服务基本情况及范围</w:t>
      </w:r>
    </w:p>
    <w:p w14:paraId="5D1598F4">
      <w:pPr>
        <w:pStyle w:val="4"/>
        <w:spacing w:after="120"/>
        <w:ind w:right="-285" w:firstLine="480"/>
        <w:jc w:val="left"/>
        <w:rPr>
          <w:highlight w:val="none"/>
        </w:rPr>
      </w:pPr>
      <w:r>
        <w:rPr>
          <w:rFonts w:ascii="仿宋_GB2312" w:hAnsi="仿宋_GB2312" w:eastAsia="仿宋_GB2312" w:cs="仿宋_GB2312"/>
          <w:color w:val="000000"/>
          <w:sz w:val="24"/>
          <w:highlight w:val="none"/>
          <w:shd w:val="clear" w:fill="FFFFFF"/>
        </w:rPr>
        <w:t>学校占地面积468亩，总建筑面积299745平方米，全院师生总数约20000人,现有建筑物主要包括办公楼、学生宿舍楼、教学楼、图书馆、文体中心、实验实训楼、培训中心、电房等楼宇。</w:t>
      </w:r>
    </w:p>
    <w:p w14:paraId="36F8FAB2">
      <w:pPr>
        <w:pStyle w:val="4"/>
        <w:spacing w:after="120"/>
        <w:ind w:left="225" w:right="-285" w:firstLine="482"/>
        <w:jc w:val="center"/>
        <w:rPr>
          <w:highlight w:val="none"/>
        </w:rPr>
      </w:pPr>
      <w:r>
        <w:rPr>
          <w:rFonts w:ascii="仿宋_GB2312" w:hAnsi="仿宋_GB2312" w:eastAsia="仿宋_GB2312" w:cs="仿宋_GB2312"/>
          <w:b/>
          <w:color w:val="000000"/>
          <w:sz w:val="24"/>
          <w:highlight w:val="none"/>
          <w:shd w:val="clear" w:fill="FFFFFF"/>
        </w:rPr>
        <w:t>主要建筑物情况表</w:t>
      </w:r>
    </w:p>
    <w:tbl>
      <w:tblPr>
        <w:tblStyle w:val="2"/>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1034"/>
        <w:gridCol w:w="1015"/>
        <w:gridCol w:w="920"/>
        <w:gridCol w:w="1160"/>
        <w:gridCol w:w="802"/>
        <w:gridCol w:w="1115"/>
        <w:gridCol w:w="920"/>
        <w:gridCol w:w="1520"/>
      </w:tblGrid>
      <w:tr w14:paraId="0B99646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single" w:color="000000" w:sz="4" w:space="0"/>
              <w:left w:val="single" w:color="000000" w:sz="4" w:space="0"/>
              <w:bottom w:val="single" w:color="000000" w:sz="4" w:space="0"/>
              <w:right w:val="single" w:color="000000" w:sz="4" w:space="0"/>
            </w:tcBorders>
            <w:tcMar>
              <w:top w:w="0" w:type="dxa"/>
              <w:left w:w="90" w:type="dxa"/>
              <w:bottom w:w="0" w:type="dxa"/>
              <w:right w:w="90" w:type="dxa"/>
            </w:tcMar>
            <w:vAlign w:val="top"/>
          </w:tcPr>
          <w:p w14:paraId="14F3B767">
            <w:pPr>
              <w:pStyle w:val="4"/>
              <w:spacing w:after="120"/>
              <w:ind w:firstLine="380"/>
              <w:jc w:val="both"/>
              <w:rPr>
                <w:highlight w:val="none"/>
              </w:rPr>
            </w:pPr>
            <w:r>
              <w:rPr>
                <w:rFonts w:ascii="仿宋_GB2312" w:hAnsi="仿宋_GB2312" w:eastAsia="仿宋_GB2312" w:cs="仿宋_GB2312"/>
                <w:b/>
                <w:color w:val="000000"/>
                <w:sz w:val="24"/>
                <w:highlight w:val="none"/>
              </w:rPr>
              <w:t>楼号</w:t>
            </w:r>
          </w:p>
        </w:tc>
        <w:tc>
          <w:tcPr>
            <w:tcW w:w="1339" w:type="dxa"/>
            <w:tcBorders>
              <w:top w:val="single" w:color="000000" w:sz="4" w:space="0"/>
              <w:left w:val="nil"/>
              <w:bottom w:val="single" w:color="000000" w:sz="4" w:space="0"/>
              <w:right w:val="single" w:color="000000" w:sz="4" w:space="0"/>
            </w:tcBorders>
            <w:tcMar>
              <w:top w:w="0" w:type="dxa"/>
              <w:left w:w="90" w:type="dxa"/>
              <w:bottom w:w="0" w:type="dxa"/>
              <w:right w:w="90" w:type="dxa"/>
            </w:tcMar>
            <w:vAlign w:val="top"/>
          </w:tcPr>
          <w:p w14:paraId="468E3506">
            <w:pPr>
              <w:pStyle w:val="4"/>
              <w:spacing w:after="120"/>
              <w:ind w:firstLine="380"/>
              <w:jc w:val="both"/>
              <w:rPr>
                <w:highlight w:val="none"/>
              </w:rPr>
            </w:pPr>
            <w:r>
              <w:rPr>
                <w:rFonts w:ascii="仿宋_GB2312" w:hAnsi="仿宋_GB2312" w:eastAsia="仿宋_GB2312" w:cs="仿宋_GB2312"/>
                <w:b/>
                <w:color w:val="000000"/>
                <w:sz w:val="24"/>
                <w:highlight w:val="none"/>
              </w:rPr>
              <w:t>功能</w:t>
            </w:r>
          </w:p>
        </w:tc>
        <w:tc>
          <w:tcPr>
            <w:tcW w:w="634" w:type="dxa"/>
            <w:tcBorders>
              <w:top w:val="single" w:color="000000" w:sz="4" w:space="0"/>
              <w:left w:val="nil"/>
              <w:bottom w:val="single" w:color="000000" w:sz="4" w:space="0"/>
              <w:right w:val="single" w:color="000000" w:sz="4" w:space="0"/>
            </w:tcBorders>
            <w:tcMar>
              <w:top w:w="0" w:type="dxa"/>
              <w:left w:w="90" w:type="dxa"/>
              <w:bottom w:w="0" w:type="dxa"/>
              <w:right w:w="90" w:type="dxa"/>
            </w:tcMar>
            <w:vAlign w:val="top"/>
          </w:tcPr>
          <w:p w14:paraId="3267FFDB">
            <w:pPr>
              <w:pStyle w:val="4"/>
              <w:spacing w:after="120"/>
              <w:ind w:firstLine="380"/>
              <w:jc w:val="both"/>
              <w:rPr>
                <w:highlight w:val="none"/>
              </w:rPr>
            </w:pPr>
            <w:r>
              <w:rPr>
                <w:rFonts w:ascii="仿宋_GB2312" w:hAnsi="仿宋_GB2312" w:eastAsia="仿宋_GB2312" w:cs="仿宋_GB2312"/>
                <w:b/>
                <w:color w:val="000000"/>
                <w:sz w:val="24"/>
                <w:highlight w:val="none"/>
              </w:rPr>
              <w:t>层数</w:t>
            </w:r>
          </w:p>
        </w:tc>
        <w:tc>
          <w:tcPr>
            <w:tcW w:w="1128" w:type="dxa"/>
            <w:tcBorders>
              <w:top w:val="single" w:color="000000" w:sz="4" w:space="0"/>
              <w:left w:val="nil"/>
              <w:bottom w:val="single" w:color="000000" w:sz="4" w:space="0"/>
              <w:right w:val="single" w:color="000000" w:sz="4" w:space="0"/>
            </w:tcBorders>
            <w:tcMar>
              <w:top w:w="0" w:type="dxa"/>
              <w:left w:w="90" w:type="dxa"/>
              <w:bottom w:w="0" w:type="dxa"/>
              <w:right w:w="90" w:type="dxa"/>
            </w:tcMar>
            <w:vAlign w:val="top"/>
          </w:tcPr>
          <w:p w14:paraId="3D40298B">
            <w:pPr>
              <w:pStyle w:val="4"/>
              <w:spacing w:after="120"/>
              <w:ind w:firstLine="380"/>
              <w:jc w:val="both"/>
              <w:rPr>
                <w:highlight w:val="none"/>
              </w:rPr>
            </w:pPr>
            <w:r>
              <w:rPr>
                <w:rFonts w:ascii="仿宋_GB2312" w:hAnsi="仿宋_GB2312" w:eastAsia="仿宋_GB2312" w:cs="仿宋_GB2312"/>
                <w:b/>
                <w:color w:val="000000"/>
                <w:sz w:val="24"/>
                <w:highlight w:val="none"/>
              </w:rPr>
              <w:t>建筑面积（M</w:t>
            </w:r>
            <w:r>
              <w:rPr>
                <w:rFonts w:ascii="仿宋_GB2312" w:hAnsi="仿宋_GB2312" w:eastAsia="仿宋_GB2312" w:cs="仿宋_GB2312"/>
                <w:b/>
                <w:color w:val="000000"/>
                <w:sz w:val="24"/>
                <w:highlight w:val="none"/>
                <w:vertAlign w:val="superscript"/>
              </w:rPr>
              <w:t>2</w:t>
            </w:r>
            <w:r>
              <w:rPr>
                <w:rFonts w:ascii="仿宋_GB2312" w:hAnsi="仿宋_GB2312" w:eastAsia="仿宋_GB2312" w:cs="仿宋_GB2312"/>
                <w:b/>
                <w:color w:val="000000"/>
                <w:sz w:val="24"/>
                <w:highlight w:val="none"/>
              </w:rPr>
              <w:t>）</w:t>
            </w:r>
          </w:p>
        </w:tc>
        <w:tc>
          <w:tcPr>
            <w:tcW w:w="803" w:type="dxa"/>
            <w:tcBorders>
              <w:top w:val="single" w:color="000000" w:sz="4" w:space="0"/>
              <w:left w:val="nil"/>
              <w:bottom w:val="single" w:color="000000" w:sz="4" w:space="0"/>
              <w:right w:val="single" w:color="000000" w:sz="4" w:space="0"/>
            </w:tcBorders>
            <w:tcMar>
              <w:top w:w="0" w:type="dxa"/>
              <w:left w:w="90" w:type="dxa"/>
              <w:bottom w:w="0" w:type="dxa"/>
              <w:right w:w="90" w:type="dxa"/>
            </w:tcMar>
            <w:vAlign w:val="top"/>
          </w:tcPr>
          <w:p w14:paraId="3FFB15AB">
            <w:pPr>
              <w:pStyle w:val="4"/>
              <w:spacing w:after="120"/>
              <w:ind w:firstLine="380"/>
              <w:jc w:val="both"/>
              <w:rPr>
                <w:highlight w:val="none"/>
              </w:rPr>
            </w:pPr>
            <w:r>
              <w:rPr>
                <w:rFonts w:ascii="仿宋_GB2312" w:hAnsi="仿宋_GB2312" w:eastAsia="仿宋_GB2312" w:cs="仿宋_GB2312"/>
                <w:b/>
                <w:color w:val="000000"/>
                <w:sz w:val="24"/>
                <w:highlight w:val="none"/>
              </w:rPr>
              <w:t>楼号</w:t>
            </w:r>
          </w:p>
        </w:tc>
        <w:tc>
          <w:tcPr>
            <w:tcW w:w="1410" w:type="dxa"/>
            <w:tcBorders>
              <w:top w:val="single" w:color="000000" w:sz="4" w:space="0"/>
              <w:left w:val="nil"/>
              <w:bottom w:val="single" w:color="000000" w:sz="4" w:space="0"/>
              <w:right w:val="single" w:color="000000" w:sz="4" w:space="0"/>
            </w:tcBorders>
            <w:tcMar>
              <w:top w:w="0" w:type="dxa"/>
              <w:left w:w="90" w:type="dxa"/>
              <w:bottom w:w="0" w:type="dxa"/>
              <w:right w:w="90" w:type="dxa"/>
            </w:tcMar>
            <w:vAlign w:val="top"/>
          </w:tcPr>
          <w:p w14:paraId="08F2121F">
            <w:pPr>
              <w:pStyle w:val="4"/>
              <w:spacing w:after="120"/>
              <w:ind w:firstLine="380"/>
              <w:jc w:val="both"/>
              <w:rPr>
                <w:highlight w:val="none"/>
              </w:rPr>
            </w:pPr>
            <w:r>
              <w:rPr>
                <w:rFonts w:ascii="仿宋_GB2312" w:hAnsi="仿宋_GB2312" w:eastAsia="仿宋_GB2312" w:cs="仿宋_GB2312"/>
                <w:b/>
                <w:color w:val="000000"/>
                <w:sz w:val="24"/>
                <w:highlight w:val="none"/>
              </w:rPr>
              <w:t>功能</w:t>
            </w:r>
          </w:p>
        </w:tc>
        <w:tc>
          <w:tcPr>
            <w:tcW w:w="620" w:type="dxa"/>
            <w:tcBorders>
              <w:top w:val="single" w:color="000000" w:sz="4" w:space="0"/>
              <w:left w:val="nil"/>
              <w:bottom w:val="single" w:color="000000" w:sz="4" w:space="0"/>
              <w:right w:val="single" w:color="000000" w:sz="4" w:space="0"/>
            </w:tcBorders>
            <w:tcMar>
              <w:top w:w="0" w:type="dxa"/>
              <w:left w:w="90" w:type="dxa"/>
              <w:bottom w:w="0" w:type="dxa"/>
              <w:right w:w="90" w:type="dxa"/>
            </w:tcMar>
            <w:vAlign w:val="top"/>
          </w:tcPr>
          <w:p w14:paraId="2D2C9235">
            <w:pPr>
              <w:pStyle w:val="4"/>
              <w:spacing w:after="120"/>
              <w:ind w:firstLine="380"/>
              <w:jc w:val="both"/>
              <w:rPr>
                <w:highlight w:val="none"/>
              </w:rPr>
            </w:pPr>
            <w:r>
              <w:rPr>
                <w:rFonts w:ascii="仿宋_GB2312" w:hAnsi="仿宋_GB2312" w:eastAsia="仿宋_GB2312" w:cs="仿宋_GB2312"/>
                <w:b/>
                <w:color w:val="000000"/>
                <w:sz w:val="24"/>
                <w:highlight w:val="none"/>
              </w:rPr>
              <w:t>层数</w:t>
            </w:r>
          </w:p>
        </w:tc>
        <w:tc>
          <w:tcPr>
            <w:tcW w:w="1255" w:type="dxa"/>
            <w:tcBorders>
              <w:top w:val="single" w:color="000000" w:sz="4" w:space="0"/>
              <w:left w:val="nil"/>
              <w:bottom w:val="single" w:color="000000" w:sz="4" w:space="0"/>
              <w:right w:val="single" w:color="000000" w:sz="4" w:space="0"/>
            </w:tcBorders>
            <w:tcMar>
              <w:top w:w="0" w:type="dxa"/>
              <w:left w:w="90" w:type="dxa"/>
              <w:bottom w:w="0" w:type="dxa"/>
              <w:right w:w="90" w:type="dxa"/>
            </w:tcMar>
            <w:vAlign w:val="top"/>
          </w:tcPr>
          <w:p w14:paraId="0D705048">
            <w:pPr>
              <w:pStyle w:val="4"/>
              <w:spacing w:after="120"/>
              <w:ind w:firstLine="380"/>
              <w:jc w:val="both"/>
              <w:rPr>
                <w:highlight w:val="none"/>
              </w:rPr>
            </w:pPr>
            <w:r>
              <w:rPr>
                <w:rFonts w:ascii="仿宋_GB2312" w:hAnsi="仿宋_GB2312" w:eastAsia="仿宋_GB2312" w:cs="仿宋_GB2312"/>
                <w:b/>
                <w:color w:val="000000"/>
                <w:sz w:val="24"/>
                <w:highlight w:val="none"/>
              </w:rPr>
              <w:t>建筑面积（M</w:t>
            </w:r>
            <w:r>
              <w:rPr>
                <w:rFonts w:ascii="仿宋_GB2312" w:hAnsi="仿宋_GB2312" w:eastAsia="仿宋_GB2312" w:cs="仿宋_GB2312"/>
                <w:b/>
                <w:color w:val="000000"/>
                <w:sz w:val="24"/>
                <w:highlight w:val="none"/>
                <w:vertAlign w:val="superscript"/>
              </w:rPr>
              <w:t>2</w:t>
            </w:r>
            <w:r>
              <w:rPr>
                <w:rFonts w:ascii="仿宋_GB2312" w:hAnsi="仿宋_GB2312" w:eastAsia="仿宋_GB2312" w:cs="仿宋_GB2312"/>
                <w:b/>
                <w:color w:val="000000"/>
                <w:sz w:val="24"/>
                <w:highlight w:val="none"/>
              </w:rPr>
              <w:t>）</w:t>
            </w:r>
          </w:p>
        </w:tc>
      </w:tr>
      <w:tr w14:paraId="26832CC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58" w:type="dxa"/>
            <w:gridSpan w:val="4"/>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60F0976D">
            <w:pPr>
              <w:pStyle w:val="4"/>
              <w:spacing w:after="120"/>
              <w:ind w:firstLine="380"/>
              <w:jc w:val="both"/>
              <w:rPr>
                <w:highlight w:val="none"/>
              </w:rPr>
            </w:pPr>
            <w:r>
              <w:rPr>
                <w:rFonts w:ascii="仿宋_GB2312" w:hAnsi="仿宋_GB2312" w:eastAsia="仿宋_GB2312" w:cs="仿宋_GB2312"/>
                <w:b/>
                <w:color w:val="000000"/>
                <w:sz w:val="24"/>
                <w:highlight w:val="none"/>
              </w:rPr>
              <w:t>福道园</w:t>
            </w:r>
          </w:p>
        </w:tc>
        <w:tc>
          <w:tcPr>
            <w:tcW w:w="4088" w:type="dxa"/>
            <w:gridSpan w:val="4"/>
            <w:tcBorders>
              <w:top w:val="nil"/>
              <w:left w:val="nil"/>
              <w:bottom w:val="single" w:color="000000" w:sz="4" w:space="0"/>
              <w:right w:val="single" w:color="000000" w:sz="4" w:space="0"/>
            </w:tcBorders>
            <w:tcMar>
              <w:top w:w="0" w:type="dxa"/>
              <w:left w:w="90" w:type="dxa"/>
              <w:bottom w:w="0" w:type="dxa"/>
              <w:right w:w="90" w:type="dxa"/>
            </w:tcMar>
            <w:vAlign w:val="top"/>
          </w:tcPr>
          <w:p w14:paraId="24A75A56">
            <w:pPr>
              <w:pStyle w:val="4"/>
              <w:spacing w:after="120"/>
              <w:ind w:firstLine="380"/>
              <w:jc w:val="both"/>
              <w:rPr>
                <w:highlight w:val="none"/>
              </w:rPr>
            </w:pPr>
          </w:p>
        </w:tc>
      </w:tr>
      <w:tr w14:paraId="6CCC024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193A0D84">
            <w:pPr>
              <w:pStyle w:val="4"/>
              <w:jc w:val="both"/>
              <w:rPr>
                <w:highlight w:val="none"/>
              </w:rPr>
            </w:pPr>
            <w:r>
              <w:rPr>
                <w:rFonts w:ascii="仿宋_GB2312" w:hAnsi="仿宋_GB2312" w:eastAsia="仿宋_GB2312" w:cs="仿宋_GB2312"/>
                <w:color w:val="000000"/>
                <w:sz w:val="24"/>
                <w:highlight w:val="none"/>
              </w:rPr>
              <w:t>1</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5C57BC3C">
            <w:pPr>
              <w:pStyle w:val="4"/>
              <w:spacing w:after="120"/>
              <w:ind w:firstLine="380"/>
              <w:jc w:val="both"/>
              <w:rPr>
                <w:highlight w:val="none"/>
              </w:rPr>
            </w:pPr>
            <w:r>
              <w:rPr>
                <w:rFonts w:ascii="仿宋_GB2312" w:hAnsi="仿宋_GB2312" w:eastAsia="仿宋_GB2312" w:cs="仿宋_GB2312"/>
                <w:color w:val="000000"/>
                <w:sz w:val="24"/>
                <w:highlight w:val="none"/>
              </w:rPr>
              <w:t>行政楼</w:t>
            </w:r>
          </w:p>
        </w:tc>
        <w:tc>
          <w:tcPr>
            <w:tcW w:w="634" w:type="dxa"/>
            <w:tcBorders>
              <w:top w:val="single" w:color="000000" w:sz="4" w:space="0"/>
              <w:left w:val="nil"/>
              <w:bottom w:val="single" w:color="000000" w:sz="4" w:space="0"/>
              <w:right w:val="single" w:color="000000" w:sz="4" w:space="0"/>
            </w:tcBorders>
            <w:tcMar>
              <w:top w:w="0" w:type="dxa"/>
              <w:left w:w="90" w:type="dxa"/>
              <w:bottom w:w="0" w:type="dxa"/>
              <w:right w:w="90" w:type="dxa"/>
            </w:tcMar>
            <w:vAlign w:val="top"/>
          </w:tcPr>
          <w:p w14:paraId="52583734">
            <w:pPr>
              <w:pStyle w:val="4"/>
              <w:spacing w:after="120"/>
              <w:ind w:firstLine="380"/>
              <w:jc w:val="both"/>
              <w:rPr>
                <w:highlight w:val="none"/>
              </w:rPr>
            </w:pPr>
            <w:r>
              <w:rPr>
                <w:rFonts w:ascii="仿宋_GB2312" w:hAnsi="仿宋_GB2312" w:eastAsia="仿宋_GB2312" w:cs="仿宋_GB2312"/>
                <w:color w:val="000000"/>
                <w:sz w:val="24"/>
                <w:highlight w:val="none"/>
              </w:rPr>
              <w:t>6</w:t>
            </w:r>
          </w:p>
        </w:tc>
        <w:tc>
          <w:tcPr>
            <w:tcW w:w="1128" w:type="dxa"/>
            <w:tcBorders>
              <w:top w:val="single" w:color="000000" w:sz="4" w:space="0"/>
              <w:left w:val="nil"/>
              <w:bottom w:val="single" w:color="000000" w:sz="4" w:space="0"/>
              <w:right w:val="single" w:color="000000" w:sz="4" w:space="0"/>
            </w:tcBorders>
            <w:tcMar>
              <w:top w:w="0" w:type="dxa"/>
              <w:left w:w="90" w:type="dxa"/>
              <w:bottom w:w="0" w:type="dxa"/>
              <w:right w:w="90" w:type="dxa"/>
            </w:tcMar>
            <w:vAlign w:val="top"/>
          </w:tcPr>
          <w:p w14:paraId="58FFAF75">
            <w:pPr>
              <w:pStyle w:val="4"/>
              <w:spacing w:after="120"/>
              <w:ind w:firstLine="380"/>
              <w:jc w:val="both"/>
              <w:rPr>
                <w:highlight w:val="none"/>
              </w:rPr>
            </w:pPr>
            <w:r>
              <w:rPr>
                <w:rFonts w:ascii="仿宋_GB2312" w:hAnsi="仿宋_GB2312" w:eastAsia="仿宋_GB2312" w:cs="仿宋_GB2312"/>
                <w:color w:val="000000"/>
                <w:sz w:val="24"/>
                <w:highlight w:val="none"/>
              </w:rPr>
              <w:t>7256</w:t>
            </w:r>
          </w:p>
        </w:tc>
        <w:tc>
          <w:tcPr>
            <w:tcW w:w="4088" w:type="dxa"/>
            <w:gridSpan w:val="4"/>
            <w:tcBorders>
              <w:top w:val="single" w:color="000000" w:sz="4" w:space="0"/>
              <w:left w:val="nil"/>
              <w:bottom w:val="single" w:color="000000" w:sz="4" w:space="0"/>
              <w:right w:val="single" w:color="000000" w:sz="4" w:space="0"/>
            </w:tcBorders>
            <w:tcMar>
              <w:top w:w="0" w:type="dxa"/>
              <w:left w:w="90" w:type="dxa"/>
              <w:bottom w:w="0" w:type="dxa"/>
              <w:right w:w="90" w:type="dxa"/>
            </w:tcMar>
            <w:vAlign w:val="top"/>
          </w:tcPr>
          <w:p w14:paraId="23353269">
            <w:pPr>
              <w:pStyle w:val="4"/>
              <w:spacing w:after="120"/>
              <w:ind w:firstLine="380"/>
              <w:jc w:val="both"/>
              <w:rPr>
                <w:highlight w:val="none"/>
              </w:rPr>
            </w:pPr>
            <w:r>
              <w:rPr>
                <w:rFonts w:ascii="仿宋_GB2312" w:hAnsi="仿宋_GB2312" w:eastAsia="仿宋_GB2312" w:cs="仿宋_GB2312"/>
                <w:b/>
                <w:color w:val="000000"/>
                <w:sz w:val="24"/>
                <w:highlight w:val="none"/>
              </w:rPr>
              <w:t>福船园</w:t>
            </w:r>
          </w:p>
        </w:tc>
      </w:tr>
      <w:tr w14:paraId="298D14F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24AC6BB2">
            <w:pPr>
              <w:pStyle w:val="4"/>
              <w:spacing w:after="120"/>
              <w:ind w:firstLine="380"/>
              <w:jc w:val="both"/>
              <w:rPr>
                <w:highlight w:val="none"/>
              </w:rPr>
            </w:pPr>
            <w:r>
              <w:rPr>
                <w:rFonts w:ascii="仿宋_GB2312" w:hAnsi="仿宋_GB2312" w:eastAsia="仿宋_GB2312" w:cs="仿宋_GB2312"/>
                <w:color w:val="000000"/>
                <w:sz w:val="24"/>
                <w:highlight w:val="none"/>
              </w:rPr>
              <w:t>2</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2D75DE8E">
            <w:pPr>
              <w:pStyle w:val="4"/>
              <w:spacing w:after="120"/>
              <w:ind w:firstLine="380"/>
              <w:jc w:val="both"/>
              <w:rPr>
                <w:highlight w:val="none"/>
              </w:rPr>
            </w:pPr>
            <w:r>
              <w:rPr>
                <w:rFonts w:ascii="仿宋_GB2312" w:hAnsi="仿宋_GB2312" w:eastAsia="仿宋_GB2312" w:cs="仿宋_GB2312"/>
                <w:color w:val="000000"/>
                <w:sz w:val="24"/>
                <w:highlight w:val="none"/>
              </w:rPr>
              <w:t>教学楼</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5933CF99">
            <w:pPr>
              <w:pStyle w:val="4"/>
              <w:spacing w:after="120"/>
              <w:ind w:firstLine="380"/>
              <w:jc w:val="both"/>
              <w:rPr>
                <w:highlight w:val="none"/>
              </w:rPr>
            </w:pPr>
            <w:r>
              <w:rPr>
                <w:rFonts w:ascii="仿宋_GB2312" w:hAnsi="仿宋_GB2312" w:eastAsia="仿宋_GB2312" w:cs="仿宋_GB2312"/>
                <w:color w:val="000000"/>
                <w:sz w:val="24"/>
                <w:highlight w:val="none"/>
              </w:rPr>
              <w:t>6</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3A24B83C">
            <w:pPr>
              <w:pStyle w:val="4"/>
              <w:spacing w:after="120"/>
              <w:ind w:firstLine="380"/>
              <w:jc w:val="both"/>
              <w:rPr>
                <w:highlight w:val="none"/>
              </w:rPr>
            </w:pPr>
            <w:r>
              <w:rPr>
                <w:rFonts w:ascii="仿宋_GB2312" w:hAnsi="仿宋_GB2312" w:eastAsia="仿宋_GB2312" w:cs="仿宋_GB2312"/>
                <w:color w:val="000000"/>
                <w:sz w:val="24"/>
                <w:highlight w:val="none"/>
              </w:rPr>
              <w:t>8080</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52586DFC">
            <w:pPr>
              <w:pStyle w:val="4"/>
              <w:spacing w:after="120"/>
              <w:ind w:firstLine="380"/>
              <w:jc w:val="both"/>
              <w:rPr>
                <w:highlight w:val="none"/>
              </w:rPr>
            </w:pPr>
            <w:r>
              <w:rPr>
                <w:rFonts w:ascii="仿宋_GB2312" w:hAnsi="仿宋_GB2312" w:eastAsia="仿宋_GB2312" w:cs="仿宋_GB2312"/>
                <w:color w:val="000000"/>
                <w:sz w:val="24"/>
                <w:highlight w:val="none"/>
              </w:rPr>
              <w:t>27</w:t>
            </w:r>
          </w:p>
        </w:tc>
        <w:tc>
          <w:tcPr>
            <w:tcW w:w="1410" w:type="dxa"/>
            <w:tcBorders>
              <w:top w:val="single" w:color="000000" w:sz="4" w:space="0"/>
              <w:left w:val="nil"/>
              <w:bottom w:val="single" w:color="000000" w:sz="4" w:space="0"/>
              <w:right w:val="single" w:color="000000" w:sz="4" w:space="0"/>
            </w:tcBorders>
            <w:tcMar>
              <w:top w:w="0" w:type="dxa"/>
              <w:left w:w="90" w:type="dxa"/>
              <w:bottom w:w="0" w:type="dxa"/>
              <w:right w:w="90" w:type="dxa"/>
            </w:tcMar>
            <w:vAlign w:val="top"/>
          </w:tcPr>
          <w:p w14:paraId="1BAE70F4">
            <w:pPr>
              <w:pStyle w:val="4"/>
              <w:spacing w:after="120"/>
              <w:ind w:firstLine="380"/>
              <w:jc w:val="both"/>
              <w:rPr>
                <w:highlight w:val="none"/>
              </w:rPr>
            </w:pPr>
            <w:r>
              <w:rPr>
                <w:rFonts w:ascii="仿宋_GB2312" w:hAnsi="仿宋_GB2312" w:eastAsia="仿宋_GB2312" w:cs="仿宋_GB2312"/>
                <w:color w:val="000000"/>
                <w:sz w:val="24"/>
                <w:highlight w:val="none"/>
              </w:rPr>
              <w:t>教工宿舍楼</w:t>
            </w:r>
          </w:p>
        </w:tc>
        <w:tc>
          <w:tcPr>
            <w:tcW w:w="620" w:type="dxa"/>
            <w:tcBorders>
              <w:top w:val="single" w:color="000000" w:sz="4" w:space="0"/>
              <w:left w:val="nil"/>
              <w:bottom w:val="single" w:color="000000" w:sz="4" w:space="0"/>
              <w:right w:val="single" w:color="000000" w:sz="4" w:space="0"/>
            </w:tcBorders>
            <w:tcMar>
              <w:top w:w="0" w:type="dxa"/>
              <w:left w:w="90" w:type="dxa"/>
              <w:bottom w:w="0" w:type="dxa"/>
              <w:right w:w="90" w:type="dxa"/>
            </w:tcMar>
            <w:vAlign w:val="top"/>
          </w:tcPr>
          <w:p w14:paraId="234EE210">
            <w:pPr>
              <w:pStyle w:val="4"/>
              <w:spacing w:after="120"/>
              <w:ind w:firstLine="380"/>
              <w:jc w:val="both"/>
              <w:rPr>
                <w:highlight w:val="none"/>
              </w:rPr>
            </w:pPr>
            <w:r>
              <w:rPr>
                <w:rFonts w:ascii="仿宋_GB2312" w:hAnsi="仿宋_GB2312" w:eastAsia="仿宋_GB2312" w:cs="仿宋_GB2312"/>
                <w:color w:val="000000"/>
                <w:sz w:val="24"/>
                <w:highlight w:val="none"/>
              </w:rPr>
              <w:t>6.5</w:t>
            </w:r>
          </w:p>
        </w:tc>
        <w:tc>
          <w:tcPr>
            <w:tcW w:w="1255" w:type="dxa"/>
            <w:tcBorders>
              <w:top w:val="single" w:color="000000" w:sz="4" w:space="0"/>
              <w:left w:val="nil"/>
              <w:bottom w:val="single" w:color="000000" w:sz="4" w:space="0"/>
              <w:right w:val="single" w:color="000000" w:sz="4" w:space="0"/>
            </w:tcBorders>
            <w:tcMar>
              <w:top w:w="0" w:type="dxa"/>
              <w:left w:w="90" w:type="dxa"/>
              <w:bottom w:w="0" w:type="dxa"/>
              <w:right w:w="90" w:type="dxa"/>
            </w:tcMar>
            <w:vAlign w:val="top"/>
          </w:tcPr>
          <w:p w14:paraId="36D99526">
            <w:pPr>
              <w:pStyle w:val="4"/>
              <w:spacing w:after="120"/>
              <w:ind w:firstLine="380"/>
              <w:jc w:val="both"/>
              <w:rPr>
                <w:highlight w:val="none"/>
              </w:rPr>
            </w:pPr>
            <w:r>
              <w:rPr>
                <w:rFonts w:ascii="仿宋_GB2312" w:hAnsi="仿宋_GB2312" w:eastAsia="仿宋_GB2312" w:cs="仿宋_GB2312"/>
                <w:color w:val="000000"/>
                <w:sz w:val="24"/>
                <w:highlight w:val="none"/>
              </w:rPr>
              <w:t>1586</w:t>
            </w:r>
          </w:p>
        </w:tc>
      </w:tr>
      <w:tr w14:paraId="14679A9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22C73C95">
            <w:pPr>
              <w:pStyle w:val="4"/>
              <w:spacing w:after="120"/>
              <w:ind w:firstLine="380"/>
              <w:jc w:val="both"/>
              <w:rPr>
                <w:highlight w:val="none"/>
              </w:rPr>
            </w:pPr>
            <w:r>
              <w:rPr>
                <w:rFonts w:ascii="仿宋_GB2312" w:hAnsi="仿宋_GB2312" w:eastAsia="仿宋_GB2312" w:cs="仿宋_GB2312"/>
                <w:color w:val="000000"/>
                <w:sz w:val="24"/>
                <w:highlight w:val="none"/>
              </w:rPr>
              <w:t>3</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2A335092">
            <w:pPr>
              <w:pStyle w:val="4"/>
              <w:spacing w:after="120"/>
              <w:ind w:firstLine="380"/>
              <w:jc w:val="both"/>
              <w:rPr>
                <w:highlight w:val="none"/>
              </w:rPr>
            </w:pPr>
            <w:r>
              <w:rPr>
                <w:rFonts w:ascii="仿宋_GB2312" w:hAnsi="仿宋_GB2312" w:eastAsia="仿宋_GB2312" w:cs="仿宋_GB2312"/>
                <w:color w:val="000000"/>
                <w:sz w:val="24"/>
                <w:highlight w:val="none"/>
              </w:rPr>
              <w:t>培训学院楼</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45415D35">
            <w:pPr>
              <w:pStyle w:val="4"/>
              <w:spacing w:after="120"/>
              <w:ind w:firstLine="380"/>
              <w:jc w:val="both"/>
              <w:rPr>
                <w:highlight w:val="none"/>
              </w:rPr>
            </w:pPr>
            <w:r>
              <w:rPr>
                <w:rFonts w:ascii="仿宋_GB2312" w:hAnsi="仿宋_GB2312" w:eastAsia="仿宋_GB2312" w:cs="仿宋_GB2312"/>
                <w:color w:val="000000"/>
                <w:sz w:val="24"/>
                <w:highlight w:val="none"/>
              </w:rPr>
              <w:t>5</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36178EC6">
            <w:pPr>
              <w:pStyle w:val="4"/>
              <w:spacing w:after="120"/>
              <w:ind w:firstLine="380"/>
              <w:jc w:val="both"/>
              <w:rPr>
                <w:highlight w:val="none"/>
              </w:rPr>
            </w:pPr>
            <w:r>
              <w:rPr>
                <w:rFonts w:ascii="仿宋_GB2312" w:hAnsi="仿宋_GB2312" w:eastAsia="仿宋_GB2312" w:cs="仿宋_GB2312"/>
                <w:color w:val="000000"/>
                <w:sz w:val="24"/>
                <w:highlight w:val="none"/>
              </w:rPr>
              <w:t>1386</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6087AEAC">
            <w:pPr>
              <w:pStyle w:val="4"/>
              <w:spacing w:after="120"/>
              <w:ind w:firstLine="380"/>
              <w:jc w:val="both"/>
              <w:rPr>
                <w:highlight w:val="none"/>
              </w:rPr>
            </w:pPr>
            <w:r>
              <w:rPr>
                <w:rFonts w:ascii="仿宋_GB2312" w:hAnsi="仿宋_GB2312" w:eastAsia="仿宋_GB2312" w:cs="仿宋_GB2312"/>
                <w:color w:val="000000"/>
                <w:sz w:val="24"/>
                <w:highlight w:val="none"/>
              </w:rPr>
              <w:t>28</w:t>
            </w:r>
          </w:p>
        </w:tc>
        <w:tc>
          <w:tcPr>
            <w:tcW w:w="1410" w:type="dxa"/>
            <w:tcBorders>
              <w:top w:val="nil"/>
              <w:left w:val="nil"/>
              <w:bottom w:val="single" w:color="000000" w:sz="4" w:space="0"/>
              <w:right w:val="single" w:color="000000" w:sz="4" w:space="0"/>
            </w:tcBorders>
            <w:tcMar>
              <w:top w:w="0" w:type="dxa"/>
              <w:left w:w="90" w:type="dxa"/>
              <w:bottom w:w="0" w:type="dxa"/>
              <w:right w:w="90" w:type="dxa"/>
            </w:tcMar>
            <w:vAlign w:val="top"/>
          </w:tcPr>
          <w:p w14:paraId="54B69B9D">
            <w:pPr>
              <w:pStyle w:val="4"/>
              <w:spacing w:after="120"/>
              <w:ind w:firstLine="380"/>
              <w:jc w:val="both"/>
              <w:rPr>
                <w:highlight w:val="none"/>
              </w:rPr>
            </w:pPr>
            <w:r>
              <w:rPr>
                <w:rFonts w:ascii="仿宋_GB2312" w:hAnsi="仿宋_GB2312" w:eastAsia="仿宋_GB2312" w:cs="仿宋_GB2312"/>
                <w:color w:val="000000"/>
                <w:sz w:val="24"/>
                <w:highlight w:val="none"/>
              </w:rPr>
              <w:t>教工宿舍楼</w:t>
            </w:r>
          </w:p>
        </w:tc>
        <w:tc>
          <w:tcPr>
            <w:tcW w:w="620" w:type="dxa"/>
            <w:tcBorders>
              <w:top w:val="nil"/>
              <w:left w:val="nil"/>
              <w:bottom w:val="single" w:color="000000" w:sz="4" w:space="0"/>
              <w:right w:val="single" w:color="000000" w:sz="4" w:space="0"/>
            </w:tcBorders>
            <w:tcMar>
              <w:top w:w="0" w:type="dxa"/>
              <w:left w:w="90" w:type="dxa"/>
              <w:bottom w:w="0" w:type="dxa"/>
              <w:right w:w="90" w:type="dxa"/>
            </w:tcMar>
            <w:vAlign w:val="top"/>
          </w:tcPr>
          <w:p w14:paraId="7CFE55AA">
            <w:pPr>
              <w:pStyle w:val="4"/>
              <w:spacing w:after="120"/>
              <w:ind w:firstLine="380"/>
              <w:jc w:val="both"/>
              <w:rPr>
                <w:highlight w:val="none"/>
              </w:rPr>
            </w:pPr>
            <w:r>
              <w:rPr>
                <w:rFonts w:ascii="仿宋_GB2312" w:hAnsi="仿宋_GB2312" w:eastAsia="仿宋_GB2312" w:cs="仿宋_GB2312"/>
                <w:color w:val="000000"/>
                <w:sz w:val="24"/>
                <w:highlight w:val="none"/>
              </w:rPr>
              <w:t>6.5</w:t>
            </w:r>
          </w:p>
        </w:tc>
        <w:tc>
          <w:tcPr>
            <w:tcW w:w="1255" w:type="dxa"/>
            <w:tcBorders>
              <w:top w:val="nil"/>
              <w:left w:val="nil"/>
              <w:bottom w:val="single" w:color="000000" w:sz="4" w:space="0"/>
              <w:right w:val="single" w:color="000000" w:sz="4" w:space="0"/>
            </w:tcBorders>
            <w:tcMar>
              <w:top w:w="0" w:type="dxa"/>
              <w:left w:w="90" w:type="dxa"/>
              <w:bottom w:w="0" w:type="dxa"/>
              <w:right w:w="90" w:type="dxa"/>
            </w:tcMar>
            <w:vAlign w:val="top"/>
          </w:tcPr>
          <w:p w14:paraId="5AE5C5B0">
            <w:pPr>
              <w:pStyle w:val="4"/>
              <w:spacing w:after="120"/>
              <w:ind w:firstLine="380"/>
              <w:jc w:val="both"/>
              <w:rPr>
                <w:highlight w:val="none"/>
              </w:rPr>
            </w:pPr>
            <w:r>
              <w:rPr>
                <w:rFonts w:ascii="仿宋_GB2312" w:hAnsi="仿宋_GB2312" w:eastAsia="仿宋_GB2312" w:cs="仿宋_GB2312"/>
                <w:color w:val="000000"/>
                <w:sz w:val="24"/>
                <w:highlight w:val="none"/>
              </w:rPr>
              <w:t>1981</w:t>
            </w:r>
          </w:p>
        </w:tc>
      </w:tr>
      <w:tr w14:paraId="25333D2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7061D657">
            <w:pPr>
              <w:pStyle w:val="4"/>
              <w:spacing w:after="120"/>
              <w:ind w:firstLine="380"/>
              <w:jc w:val="both"/>
              <w:rPr>
                <w:highlight w:val="none"/>
              </w:rPr>
            </w:pPr>
            <w:r>
              <w:rPr>
                <w:rFonts w:ascii="仿宋_GB2312" w:hAnsi="仿宋_GB2312" w:eastAsia="仿宋_GB2312" w:cs="仿宋_GB2312"/>
                <w:color w:val="000000"/>
                <w:sz w:val="24"/>
                <w:highlight w:val="none"/>
              </w:rPr>
              <w:t>4</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3E35B557">
            <w:pPr>
              <w:pStyle w:val="4"/>
              <w:spacing w:after="120"/>
              <w:ind w:firstLine="380"/>
              <w:jc w:val="both"/>
              <w:rPr>
                <w:highlight w:val="none"/>
              </w:rPr>
            </w:pPr>
            <w:r>
              <w:rPr>
                <w:rFonts w:ascii="仿宋_GB2312" w:hAnsi="仿宋_GB2312" w:eastAsia="仿宋_GB2312" w:cs="仿宋_GB2312"/>
                <w:color w:val="000000"/>
                <w:sz w:val="24"/>
                <w:highlight w:val="none"/>
              </w:rPr>
              <w:t>教工食堂、培训中心</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0CD14B87">
            <w:pPr>
              <w:pStyle w:val="4"/>
              <w:spacing w:after="120"/>
              <w:ind w:firstLine="380"/>
              <w:jc w:val="both"/>
              <w:rPr>
                <w:highlight w:val="none"/>
              </w:rPr>
            </w:pPr>
            <w:r>
              <w:rPr>
                <w:rFonts w:ascii="仿宋_GB2312" w:hAnsi="仿宋_GB2312" w:eastAsia="仿宋_GB2312" w:cs="仿宋_GB2312"/>
                <w:color w:val="000000"/>
                <w:sz w:val="24"/>
                <w:highlight w:val="none"/>
              </w:rPr>
              <w:t>6</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128ECBED">
            <w:pPr>
              <w:pStyle w:val="4"/>
              <w:spacing w:after="120"/>
              <w:ind w:firstLine="380"/>
              <w:jc w:val="both"/>
              <w:rPr>
                <w:highlight w:val="none"/>
              </w:rPr>
            </w:pPr>
            <w:r>
              <w:rPr>
                <w:rFonts w:ascii="仿宋_GB2312" w:hAnsi="仿宋_GB2312" w:eastAsia="仿宋_GB2312" w:cs="仿宋_GB2312"/>
                <w:color w:val="000000"/>
                <w:sz w:val="24"/>
                <w:highlight w:val="none"/>
              </w:rPr>
              <w:t>6098</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69F321A4">
            <w:pPr>
              <w:pStyle w:val="4"/>
              <w:spacing w:after="120"/>
              <w:ind w:firstLine="380"/>
              <w:jc w:val="both"/>
              <w:rPr>
                <w:highlight w:val="none"/>
              </w:rPr>
            </w:pPr>
            <w:r>
              <w:rPr>
                <w:rFonts w:ascii="仿宋_GB2312" w:hAnsi="仿宋_GB2312" w:eastAsia="仿宋_GB2312" w:cs="仿宋_GB2312"/>
                <w:color w:val="000000"/>
                <w:sz w:val="24"/>
                <w:highlight w:val="none"/>
              </w:rPr>
              <w:t>29</w:t>
            </w:r>
          </w:p>
        </w:tc>
        <w:tc>
          <w:tcPr>
            <w:tcW w:w="1410" w:type="dxa"/>
            <w:tcBorders>
              <w:top w:val="nil"/>
              <w:left w:val="nil"/>
              <w:bottom w:val="single" w:color="000000" w:sz="4" w:space="0"/>
              <w:right w:val="single" w:color="000000" w:sz="4" w:space="0"/>
            </w:tcBorders>
            <w:tcMar>
              <w:top w:w="0" w:type="dxa"/>
              <w:left w:w="90" w:type="dxa"/>
              <w:bottom w:w="0" w:type="dxa"/>
              <w:right w:w="90" w:type="dxa"/>
            </w:tcMar>
            <w:vAlign w:val="top"/>
          </w:tcPr>
          <w:p w14:paraId="6CC396C0">
            <w:pPr>
              <w:pStyle w:val="4"/>
              <w:spacing w:after="120"/>
              <w:ind w:firstLine="380"/>
              <w:jc w:val="both"/>
              <w:rPr>
                <w:highlight w:val="none"/>
              </w:rPr>
            </w:pPr>
            <w:r>
              <w:rPr>
                <w:rFonts w:ascii="仿宋_GB2312" w:hAnsi="仿宋_GB2312" w:eastAsia="仿宋_GB2312" w:cs="仿宋_GB2312"/>
                <w:color w:val="000000"/>
                <w:sz w:val="24"/>
                <w:highlight w:val="none"/>
              </w:rPr>
              <w:t>办公楼</w:t>
            </w:r>
          </w:p>
        </w:tc>
        <w:tc>
          <w:tcPr>
            <w:tcW w:w="620" w:type="dxa"/>
            <w:tcBorders>
              <w:top w:val="nil"/>
              <w:left w:val="nil"/>
              <w:bottom w:val="single" w:color="000000" w:sz="4" w:space="0"/>
              <w:right w:val="single" w:color="000000" w:sz="4" w:space="0"/>
            </w:tcBorders>
            <w:tcMar>
              <w:top w:w="0" w:type="dxa"/>
              <w:left w:w="90" w:type="dxa"/>
              <w:bottom w:w="0" w:type="dxa"/>
              <w:right w:w="90" w:type="dxa"/>
            </w:tcMar>
            <w:vAlign w:val="top"/>
          </w:tcPr>
          <w:p w14:paraId="3E1CDB68">
            <w:pPr>
              <w:pStyle w:val="4"/>
              <w:spacing w:after="120"/>
              <w:ind w:firstLine="380"/>
              <w:jc w:val="both"/>
              <w:rPr>
                <w:highlight w:val="none"/>
              </w:rPr>
            </w:pPr>
            <w:r>
              <w:rPr>
                <w:rFonts w:ascii="仿宋_GB2312" w:hAnsi="仿宋_GB2312" w:eastAsia="仿宋_GB2312" w:cs="仿宋_GB2312"/>
                <w:color w:val="000000"/>
                <w:sz w:val="24"/>
                <w:highlight w:val="none"/>
              </w:rPr>
              <w:t>6</w:t>
            </w:r>
          </w:p>
        </w:tc>
        <w:tc>
          <w:tcPr>
            <w:tcW w:w="1255" w:type="dxa"/>
            <w:tcBorders>
              <w:top w:val="nil"/>
              <w:left w:val="nil"/>
              <w:bottom w:val="single" w:color="000000" w:sz="4" w:space="0"/>
              <w:right w:val="single" w:color="000000" w:sz="4" w:space="0"/>
            </w:tcBorders>
            <w:tcMar>
              <w:top w:w="0" w:type="dxa"/>
              <w:left w:w="90" w:type="dxa"/>
              <w:bottom w:w="0" w:type="dxa"/>
              <w:right w:w="90" w:type="dxa"/>
            </w:tcMar>
            <w:vAlign w:val="top"/>
          </w:tcPr>
          <w:p w14:paraId="4293C837">
            <w:pPr>
              <w:pStyle w:val="4"/>
              <w:spacing w:after="120"/>
              <w:ind w:firstLine="380"/>
              <w:jc w:val="both"/>
              <w:rPr>
                <w:highlight w:val="none"/>
              </w:rPr>
            </w:pPr>
            <w:r>
              <w:rPr>
                <w:rFonts w:ascii="仿宋_GB2312" w:hAnsi="仿宋_GB2312" w:eastAsia="仿宋_GB2312" w:cs="仿宋_GB2312"/>
                <w:color w:val="000000"/>
                <w:sz w:val="24"/>
                <w:highlight w:val="none"/>
              </w:rPr>
              <w:t>2555</w:t>
            </w:r>
          </w:p>
        </w:tc>
      </w:tr>
      <w:tr w14:paraId="08E8423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29088FCE">
            <w:pPr>
              <w:pStyle w:val="4"/>
              <w:spacing w:after="120"/>
              <w:ind w:firstLine="380"/>
              <w:jc w:val="both"/>
              <w:rPr>
                <w:highlight w:val="none"/>
              </w:rPr>
            </w:pPr>
            <w:r>
              <w:rPr>
                <w:rFonts w:ascii="仿宋_GB2312" w:hAnsi="仿宋_GB2312" w:eastAsia="仿宋_GB2312" w:cs="仿宋_GB2312"/>
                <w:color w:val="000000"/>
                <w:sz w:val="24"/>
                <w:highlight w:val="none"/>
              </w:rPr>
              <w:t>5</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315CE43D">
            <w:pPr>
              <w:pStyle w:val="4"/>
              <w:spacing w:after="120"/>
              <w:ind w:firstLine="380"/>
              <w:jc w:val="both"/>
              <w:rPr>
                <w:highlight w:val="none"/>
              </w:rPr>
            </w:pPr>
            <w:r>
              <w:rPr>
                <w:rFonts w:ascii="仿宋_GB2312" w:hAnsi="仿宋_GB2312" w:eastAsia="仿宋_GB2312" w:cs="仿宋_GB2312"/>
                <w:color w:val="000000"/>
                <w:sz w:val="24"/>
                <w:highlight w:val="none"/>
              </w:rPr>
              <w:t>食堂</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3221738B">
            <w:pPr>
              <w:pStyle w:val="4"/>
              <w:spacing w:after="120"/>
              <w:ind w:firstLine="380"/>
              <w:jc w:val="both"/>
              <w:rPr>
                <w:highlight w:val="none"/>
              </w:rPr>
            </w:pPr>
            <w:r>
              <w:rPr>
                <w:rFonts w:ascii="仿宋_GB2312" w:hAnsi="仿宋_GB2312" w:eastAsia="仿宋_GB2312" w:cs="仿宋_GB2312"/>
                <w:color w:val="000000"/>
                <w:sz w:val="24"/>
                <w:highlight w:val="none"/>
              </w:rPr>
              <w:t>2</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61D68791">
            <w:pPr>
              <w:pStyle w:val="4"/>
              <w:spacing w:after="120"/>
              <w:ind w:firstLine="380"/>
              <w:jc w:val="both"/>
              <w:rPr>
                <w:highlight w:val="none"/>
              </w:rPr>
            </w:pPr>
            <w:r>
              <w:rPr>
                <w:rFonts w:ascii="仿宋_GB2312" w:hAnsi="仿宋_GB2312" w:eastAsia="仿宋_GB2312" w:cs="仿宋_GB2312"/>
                <w:color w:val="000000"/>
                <w:sz w:val="24"/>
                <w:highlight w:val="none"/>
              </w:rPr>
              <w:t>1574</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6EB3E37A">
            <w:pPr>
              <w:pStyle w:val="4"/>
              <w:spacing w:after="120"/>
              <w:ind w:firstLine="380"/>
              <w:jc w:val="both"/>
              <w:rPr>
                <w:highlight w:val="none"/>
              </w:rPr>
            </w:pPr>
            <w:r>
              <w:rPr>
                <w:rFonts w:ascii="仿宋_GB2312" w:hAnsi="仿宋_GB2312" w:eastAsia="仿宋_GB2312" w:cs="仿宋_GB2312"/>
                <w:color w:val="000000"/>
                <w:sz w:val="24"/>
                <w:highlight w:val="none"/>
              </w:rPr>
              <w:t>30</w:t>
            </w:r>
          </w:p>
        </w:tc>
        <w:tc>
          <w:tcPr>
            <w:tcW w:w="1410" w:type="dxa"/>
            <w:tcBorders>
              <w:top w:val="nil"/>
              <w:left w:val="nil"/>
              <w:bottom w:val="single" w:color="000000" w:sz="4" w:space="0"/>
              <w:right w:val="single" w:color="000000" w:sz="4" w:space="0"/>
            </w:tcBorders>
            <w:tcMar>
              <w:top w:w="0" w:type="dxa"/>
              <w:left w:w="90" w:type="dxa"/>
              <w:bottom w:w="0" w:type="dxa"/>
              <w:right w:w="90" w:type="dxa"/>
            </w:tcMar>
            <w:vAlign w:val="top"/>
          </w:tcPr>
          <w:p w14:paraId="37D7E1A3">
            <w:pPr>
              <w:pStyle w:val="4"/>
              <w:spacing w:after="120"/>
              <w:ind w:firstLine="380"/>
              <w:jc w:val="both"/>
              <w:rPr>
                <w:highlight w:val="none"/>
              </w:rPr>
            </w:pPr>
            <w:r>
              <w:rPr>
                <w:rFonts w:ascii="仿宋_GB2312" w:hAnsi="仿宋_GB2312" w:eastAsia="仿宋_GB2312" w:cs="仿宋_GB2312"/>
                <w:color w:val="000000"/>
                <w:sz w:val="24"/>
                <w:highlight w:val="none"/>
              </w:rPr>
              <w:t>奥迪中心实验楼</w:t>
            </w:r>
          </w:p>
        </w:tc>
        <w:tc>
          <w:tcPr>
            <w:tcW w:w="620" w:type="dxa"/>
            <w:tcBorders>
              <w:top w:val="nil"/>
              <w:left w:val="nil"/>
              <w:bottom w:val="single" w:color="000000" w:sz="4" w:space="0"/>
              <w:right w:val="single" w:color="000000" w:sz="4" w:space="0"/>
            </w:tcBorders>
            <w:tcMar>
              <w:top w:w="0" w:type="dxa"/>
              <w:left w:w="90" w:type="dxa"/>
              <w:bottom w:w="0" w:type="dxa"/>
              <w:right w:w="90" w:type="dxa"/>
            </w:tcMar>
            <w:vAlign w:val="top"/>
          </w:tcPr>
          <w:p w14:paraId="52AE1A1B">
            <w:pPr>
              <w:pStyle w:val="4"/>
              <w:spacing w:after="120"/>
              <w:ind w:firstLine="380"/>
              <w:jc w:val="both"/>
              <w:rPr>
                <w:highlight w:val="none"/>
              </w:rPr>
            </w:pPr>
            <w:r>
              <w:rPr>
                <w:rFonts w:ascii="仿宋_GB2312" w:hAnsi="仿宋_GB2312" w:eastAsia="仿宋_GB2312" w:cs="仿宋_GB2312"/>
                <w:color w:val="000000"/>
                <w:sz w:val="24"/>
                <w:highlight w:val="none"/>
              </w:rPr>
              <w:t>4</w:t>
            </w:r>
          </w:p>
        </w:tc>
        <w:tc>
          <w:tcPr>
            <w:tcW w:w="1255" w:type="dxa"/>
            <w:tcBorders>
              <w:top w:val="nil"/>
              <w:left w:val="nil"/>
              <w:bottom w:val="single" w:color="000000" w:sz="4" w:space="0"/>
              <w:right w:val="single" w:color="000000" w:sz="4" w:space="0"/>
            </w:tcBorders>
            <w:tcMar>
              <w:top w:w="0" w:type="dxa"/>
              <w:left w:w="90" w:type="dxa"/>
              <w:bottom w:w="0" w:type="dxa"/>
              <w:right w:w="90" w:type="dxa"/>
            </w:tcMar>
            <w:vAlign w:val="top"/>
          </w:tcPr>
          <w:p w14:paraId="58840A59">
            <w:pPr>
              <w:pStyle w:val="4"/>
              <w:spacing w:after="120"/>
              <w:ind w:firstLine="380"/>
              <w:jc w:val="both"/>
              <w:rPr>
                <w:highlight w:val="none"/>
              </w:rPr>
            </w:pPr>
            <w:r>
              <w:rPr>
                <w:rFonts w:ascii="仿宋_GB2312" w:hAnsi="仿宋_GB2312" w:eastAsia="仿宋_GB2312" w:cs="仿宋_GB2312"/>
                <w:color w:val="000000"/>
                <w:sz w:val="24"/>
                <w:highlight w:val="none"/>
              </w:rPr>
              <w:t>2800</w:t>
            </w:r>
          </w:p>
        </w:tc>
      </w:tr>
      <w:tr w14:paraId="3A95CA4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07FDC65F">
            <w:pPr>
              <w:pStyle w:val="4"/>
              <w:spacing w:after="120"/>
              <w:ind w:firstLine="380"/>
              <w:jc w:val="both"/>
              <w:rPr>
                <w:highlight w:val="none"/>
              </w:rPr>
            </w:pPr>
            <w:r>
              <w:rPr>
                <w:rFonts w:ascii="仿宋_GB2312" w:hAnsi="仿宋_GB2312" w:eastAsia="仿宋_GB2312" w:cs="仿宋_GB2312"/>
                <w:color w:val="000000"/>
                <w:sz w:val="24"/>
                <w:highlight w:val="none"/>
              </w:rPr>
              <w:t>6</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5D75960A">
            <w:pPr>
              <w:pStyle w:val="4"/>
              <w:spacing w:after="120"/>
              <w:ind w:firstLine="380"/>
              <w:jc w:val="both"/>
              <w:rPr>
                <w:highlight w:val="none"/>
              </w:rPr>
            </w:pPr>
            <w:r>
              <w:rPr>
                <w:rFonts w:ascii="仿宋_GB2312" w:hAnsi="仿宋_GB2312" w:eastAsia="仿宋_GB2312" w:cs="仿宋_GB2312"/>
                <w:color w:val="000000"/>
                <w:sz w:val="24"/>
                <w:highlight w:val="none"/>
              </w:rPr>
              <w:t>学生宿舍楼</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371CD6EE">
            <w:pPr>
              <w:pStyle w:val="4"/>
              <w:spacing w:after="120"/>
              <w:ind w:firstLine="380"/>
              <w:jc w:val="both"/>
              <w:rPr>
                <w:highlight w:val="none"/>
              </w:rPr>
            </w:pPr>
            <w:r>
              <w:rPr>
                <w:rFonts w:ascii="仿宋_GB2312" w:hAnsi="仿宋_GB2312" w:eastAsia="仿宋_GB2312" w:cs="仿宋_GB2312"/>
                <w:color w:val="000000"/>
                <w:sz w:val="24"/>
                <w:highlight w:val="none"/>
              </w:rPr>
              <w:t>6</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3D711DFF">
            <w:pPr>
              <w:pStyle w:val="4"/>
              <w:spacing w:after="120"/>
              <w:ind w:firstLine="380"/>
              <w:jc w:val="both"/>
              <w:rPr>
                <w:highlight w:val="none"/>
              </w:rPr>
            </w:pPr>
            <w:r>
              <w:rPr>
                <w:rFonts w:ascii="仿宋_GB2312" w:hAnsi="仿宋_GB2312" w:eastAsia="仿宋_GB2312" w:cs="仿宋_GB2312"/>
                <w:color w:val="000000"/>
                <w:sz w:val="24"/>
                <w:highlight w:val="none"/>
              </w:rPr>
              <w:t>6098</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286526D4">
            <w:pPr>
              <w:pStyle w:val="4"/>
              <w:spacing w:after="120"/>
              <w:ind w:firstLine="380"/>
              <w:jc w:val="both"/>
              <w:rPr>
                <w:highlight w:val="none"/>
              </w:rPr>
            </w:pPr>
            <w:r>
              <w:rPr>
                <w:rFonts w:ascii="仿宋_GB2312" w:hAnsi="仿宋_GB2312" w:eastAsia="仿宋_GB2312" w:cs="仿宋_GB2312"/>
                <w:color w:val="000000"/>
                <w:sz w:val="24"/>
                <w:highlight w:val="none"/>
              </w:rPr>
              <w:t>31</w:t>
            </w:r>
          </w:p>
        </w:tc>
        <w:tc>
          <w:tcPr>
            <w:tcW w:w="1410" w:type="dxa"/>
            <w:tcBorders>
              <w:top w:val="nil"/>
              <w:left w:val="nil"/>
              <w:bottom w:val="single" w:color="000000" w:sz="4" w:space="0"/>
              <w:right w:val="single" w:color="000000" w:sz="4" w:space="0"/>
            </w:tcBorders>
            <w:tcMar>
              <w:top w:w="0" w:type="dxa"/>
              <w:left w:w="90" w:type="dxa"/>
              <w:bottom w:w="0" w:type="dxa"/>
              <w:right w:w="90" w:type="dxa"/>
            </w:tcMar>
            <w:vAlign w:val="top"/>
          </w:tcPr>
          <w:p w14:paraId="704CFA75">
            <w:pPr>
              <w:pStyle w:val="4"/>
              <w:spacing w:after="120"/>
              <w:ind w:firstLine="380"/>
              <w:jc w:val="both"/>
              <w:rPr>
                <w:highlight w:val="none"/>
              </w:rPr>
            </w:pPr>
            <w:r>
              <w:rPr>
                <w:rFonts w:ascii="仿宋_GB2312" w:hAnsi="仿宋_GB2312" w:eastAsia="仿宋_GB2312" w:cs="仿宋_GB2312"/>
                <w:color w:val="000000"/>
                <w:sz w:val="24"/>
                <w:highlight w:val="none"/>
              </w:rPr>
              <w:t>教学楼</w:t>
            </w:r>
          </w:p>
        </w:tc>
        <w:tc>
          <w:tcPr>
            <w:tcW w:w="620" w:type="dxa"/>
            <w:tcBorders>
              <w:top w:val="nil"/>
              <w:left w:val="nil"/>
              <w:bottom w:val="single" w:color="000000" w:sz="4" w:space="0"/>
              <w:right w:val="single" w:color="000000" w:sz="4" w:space="0"/>
            </w:tcBorders>
            <w:tcMar>
              <w:top w:w="0" w:type="dxa"/>
              <w:left w:w="90" w:type="dxa"/>
              <w:bottom w:w="0" w:type="dxa"/>
              <w:right w:w="90" w:type="dxa"/>
            </w:tcMar>
            <w:vAlign w:val="top"/>
          </w:tcPr>
          <w:p w14:paraId="2AEF2024">
            <w:pPr>
              <w:pStyle w:val="4"/>
              <w:spacing w:after="120"/>
              <w:ind w:firstLine="380"/>
              <w:jc w:val="both"/>
              <w:rPr>
                <w:highlight w:val="none"/>
              </w:rPr>
            </w:pPr>
            <w:r>
              <w:rPr>
                <w:rFonts w:ascii="仿宋_GB2312" w:hAnsi="仿宋_GB2312" w:eastAsia="仿宋_GB2312" w:cs="仿宋_GB2312"/>
                <w:color w:val="000000"/>
                <w:sz w:val="24"/>
                <w:highlight w:val="none"/>
              </w:rPr>
              <w:t>6</w:t>
            </w:r>
          </w:p>
        </w:tc>
        <w:tc>
          <w:tcPr>
            <w:tcW w:w="1255" w:type="dxa"/>
            <w:tcBorders>
              <w:top w:val="nil"/>
              <w:left w:val="nil"/>
              <w:bottom w:val="single" w:color="000000" w:sz="4" w:space="0"/>
              <w:right w:val="single" w:color="000000" w:sz="4" w:space="0"/>
            </w:tcBorders>
            <w:tcMar>
              <w:top w:w="0" w:type="dxa"/>
              <w:left w:w="90" w:type="dxa"/>
              <w:bottom w:w="0" w:type="dxa"/>
              <w:right w:w="90" w:type="dxa"/>
            </w:tcMar>
            <w:vAlign w:val="top"/>
          </w:tcPr>
          <w:p w14:paraId="6BCC7401">
            <w:pPr>
              <w:pStyle w:val="4"/>
              <w:spacing w:after="120"/>
              <w:ind w:firstLine="380"/>
              <w:jc w:val="both"/>
              <w:rPr>
                <w:highlight w:val="none"/>
              </w:rPr>
            </w:pPr>
            <w:r>
              <w:rPr>
                <w:rFonts w:ascii="仿宋_GB2312" w:hAnsi="仿宋_GB2312" w:eastAsia="仿宋_GB2312" w:cs="仿宋_GB2312"/>
                <w:color w:val="000000"/>
                <w:sz w:val="24"/>
                <w:highlight w:val="none"/>
              </w:rPr>
              <w:t>6680</w:t>
            </w:r>
          </w:p>
        </w:tc>
      </w:tr>
      <w:tr w14:paraId="4C1D40F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4DE81E69">
            <w:pPr>
              <w:pStyle w:val="4"/>
              <w:spacing w:after="120"/>
              <w:ind w:firstLine="380"/>
              <w:jc w:val="both"/>
              <w:rPr>
                <w:highlight w:val="none"/>
              </w:rPr>
            </w:pPr>
            <w:r>
              <w:rPr>
                <w:rFonts w:ascii="仿宋_GB2312" w:hAnsi="仿宋_GB2312" w:eastAsia="仿宋_GB2312" w:cs="仿宋_GB2312"/>
                <w:color w:val="000000"/>
                <w:sz w:val="24"/>
                <w:highlight w:val="none"/>
              </w:rPr>
              <w:t>7</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5723E1A8">
            <w:pPr>
              <w:pStyle w:val="4"/>
              <w:spacing w:after="120"/>
              <w:ind w:firstLine="380"/>
              <w:jc w:val="both"/>
              <w:rPr>
                <w:highlight w:val="none"/>
              </w:rPr>
            </w:pPr>
            <w:r>
              <w:rPr>
                <w:rFonts w:ascii="仿宋_GB2312" w:hAnsi="仿宋_GB2312" w:eastAsia="仿宋_GB2312" w:cs="仿宋_GB2312"/>
                <w:color w:val="000000"/>
                <w:sz w:val="24"/>
                <w:highlight w:val="none"/>
              </w:rPr>
              <w:t>实验实训、团学阵地、办公室等</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25DA8FC2">
            <w:pPr>
              <w:pStyle w:val="4"/>
              <w:spacing w:after="120"/>
              <w:ind w:firstLine="380"/>
              <w:jc w:val="both"/>
              <w:rPr>
                <w:highlight w:val="none"/>
              </w:rPr>
            </w:pPr>
            <w:r>
              <w:rPr>
                <w:rFonts w:ascii="仿宋_GB2312" w:hAnsi="仿宋_GB2312" w:eastAsia="仿宋_GB2312" w:cs="仿宋_GB2312"/>
                <w:color w:val="000000"/>
                <w:sz w:val="24"/>
                <w:highlight w:val="none"/>
              </w:rPr>
              <w:t>4</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493F1CD5">
            <w:pPr>
              <w:pStyle w:val="4"/>
              <w:spacing w:after="120"/>
              <w:ind w:firstLine="380"/>
              <w:jc w:val="both"/>
              <w:rPr>
                <w:highlight w:val="none"/>
              </w:rPr>
            </w:pPr>
            <w:r>
              <w:rPr>
                <w:rFonts w:ascii="仿宋_GB2312" w:hAnsi="仿宋_GB2312" w:eastAsia="仿宋_GB2312" w:cs="仿宋_GB2312"/>
                <w:color w:val="000000"/>
                <w:sz w:val="24"/>
                <w:highlight w:val="none"/>
              </w:rPr>
              <w:t>1688</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06EEC62E">
            <w:pPr>
              <w:pStyle w:val="4"/>
              <w:spacing w:after="120"/>
              <w:ind w:firstLine="380"/>
              <w:jc w:val="both"/>
              <w:rPr>
                <w:highlight w:val="none"/>
              </w:rPr>
            </w:pPr>
            <w:r>
              <w:rPr>
                <w:rFonts w:ascii="仿宋_GB2312" w:hAnsi="仿宋_GB2312" w:eastAsia="仿宋_GB2312" w:cs="仿宋_GB2312"/>
                <w:color w:val="000000"/>
                <w:sz w:val="24"/>
                <w:highlight w:val="none"/>
              </w:rPr>
              <w:t>32</w:t>
            </w:r>
          </w:p>
        </w:tc>
        <w:tc>
          <w:tcPr>
            <w:tcW w:w="1410" w:type="dxa"/>
            <w:tcBorders>
              <w:top w:val="nil"/>
              <w:left w:val="nil"/>
              <w:bottom w:val="single" w:color="000000" w:sz="4" w:space="0"/>
              <w:right w:val="single" w:color="000000" w:sz="4" w:space="0"/>
            </w:tcBorders>
            <w:tcMar>
              <w:top w:w="0" w:type="dxa"/>
              <w:left w:w="90" w:type="dxa"/>
              <w:bottom w:w="0" w:type="dxa"/>
              <w:right w:w="90" w:type="dxa"/>
            </w:tcMar>
            <w:vAlign w:val="top"/>
          </w:tcPr>
          <w:p w14:paraId="4C9D8E7C">
            <w:pPr>
              <w:pStyle w:val="4"/>
              <w:spacing w:after="120"/>
              <w:ind w:firstLine="380"/>
              <w:jc w:val="both"/>
              <w:rPr>
                <w:highlight w:val="none"/>
              </w:rPr>
            </w:pPr>
            <w:r>
              <w:rPr>
                <w:rFonts w:ascii="仿宋_GB2312" w:hAnsi="仿宋_GB2312" w:eastAsia="仿宋_GB2312" w:cs="仿宋_GB2312"/>
                <w:color w:val="000000"/>
                <w:sz w:val="24"/>
                <w:highlight w:val="none"/>
              </w:rPr>
              <w:t>教室、学生宿舍楼</w:t>
            </w:r>
          </w:p>
        </w:tc>
        <w:tc>
          <w:tcPr>
            <w:tcW w:w="620" w:type="dxa"/>
            <w:tcBorders>
              <w:top w:val="nil"/>
              <w:left w:val="nil"/>
              <w:bottom w:val="single" w:color="000000" w:sz="4" w:space="0"/>
              <w:right w:val="single" w:color="000000" w:sz="4" w:space="0"/>
            </w:tcBorders>
            <w:tcMar>
              <w:top w:w="0" w:type="dxa"/>
              <w:left w:w="90" w:type="dxa"/>
              <w:bottom w:w="0" w:type="dxa"/>
              <w:right w:w="90" w:type="dxa"/>
            </w:tcMar>
            <w:vAlign w:val="top"/>
          </w:tcPr>
          <w:p w14:paraId="1076D2F7">
            <w:pPr>
              <w:pStyle w:val="4"/>
              <w:spacing w:after="120"/>
              <w:ind w:firstLine="380"/>
              <w:jc w:val="both"/>
              <w:rPr>
                <w:highlight w:val="none"/>
              </w:rPr>
            </w:pPr>
            <w:r>
              <w:rPr>
                <w:rFonts w:ascii="仿宋_GB2312" w:hAnsi="仿宋_GB2312" w:eastAsia="仿宋_GB2312" w:cs="仿宋_GB2312"/>
                <w:color w:val="000000"/>
                <w:sz w:val="24"/>
                <w:highlight w:val="none"/>
              </w:rPr>
              <w:t>10</w:t>
            </w:r>
          </w:p>
        </w:tc>
        <w:tc>
          <w:tcPr>
            <w:tcW w:w="1255" w:type="dxa"/>
            <w:tcBorders>
              <w:top w:val="nil"/>
              <w:left w:val="nil"/>
              <w:bottom w:val="single" w:color="000000" w:sz="4" w:space="0"/>
              <w:right w:val="single" w:color="000000" w:sz="4" w:space="0"/>
            </w:tcBorders>
            <w:tcMar>
              <w:top w:w="0" w:type="dxa"/>
              <w:left w:w="90" w:type="dxa"/>
              <w:bottom w:w="0" w:type="dxa"/>
              <w:right w:w="90" w:type="dxa"/>
            </w:tcMar>
            <w:vAlign w:val="top"/>
          </w:tcPr>
          <w:p w14:paraId="3F89BBCF">
            <w:pPr>
              <w:pStyle w:val="4"/>
              <w:spacing w:after="120"/>
              <w:ind w:firstLine="380"/>
              <w:jc w:val="both"/>
              <w:rPr>
                <w:highlight w:val="none"/>
              </w:rPr>
            </w:pPr>
            <w:r>
              <w:rPr>
                <w:rFonts w:ascii="仿宋_GB2312" w:hAnsi="仿宋_GB2312" w:eastAsia="仿宋_GB2312" w:cs="仿宋_GB2312"/>
                <w:color w:val="000000"/>
                <w:sz w:val="24"/>
                <w:highlight w:val="none"/>
              </w:rPr>
              <w:t>5563</w:t>
            </w:r>
          </w:p>
        </w:tc>
      </w:tr>
      <w:tr w14:paraId="5FB4FAB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55DAC21A">
            <w:pPr>
              <w:pStyle w:val="4"/>
              <w:spacing w:after="120"/>
              <w:ind w:firstLine="380"/>
              <w:jc w:val="both"/>
              <w:rPr>
                <w:highlight w:val="none"/>
              </w:rPr>
            </w:pPr>
            <w:r>
              <w:rPr>
                <w:rFonts w:ascii="仿宋_GB2312" w:hAnsi="仿宋_GB2312" w:eastAsia="仿宋_GB2312" w:cs="仿宋_GB2312"/>
                <w:color w:val="000000"/>
                <w:sz w:val="24"/>
                <w:highlight w:val="none"/>
              </w:rPr>
              <w:t>8</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2A58BE34">
            <w:pPr>
              <w:pStyle w:val="4"/>
              <w:spacing w:after="120"/>
              <w:ind w:firstLine="380"/>
              <w:jc w:val="both"/>
              <w:rPr>
                <w:highlight w:val="none"/>
              </w:rPr>
            </w:pPr>
            <w:r>
              <w:rPr>
                <w:rFonts w:ascii="仿宋_GB2312" w:hAnsi="仿宋_GB2312" w:eastAsia="仿宋_GB2312" w:cs="仿宋_GB2312"/>
                <w:color w:val="000000"/>
                <w:sz w:val="24"/>
                <w:highlight w:val="none"/>
              </w:rPr>
              <w:t>教学楼</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72F994FA">
            <w:pPr>
              <w:pStyle w:val="4"/>
              <w:spacing w:after="120"/>
              <w:ind w:firstLine="380"/>
              <w:jc w:val="both"/>
              <w:rPr>
                <w:highlight w:val="none"/>
              </w:rPr>
            </w:pPr>
            <w:r>
              <w:rPr>
                <w:rFonts w:ascii="仿宋_GB2312" w:hAnsi="仿宋_GB2312" w:eastAsia="仿宋_GB2312" w:cs="仿宋_GB2312"/>
                <w:color w:val="000000"/>
                <w:sz w:val="24"/>
                <w:highlight w:val="none"/>
              </w:rPr>
              <w:t>5</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33BD5DA4">
            <w:pPr>
              <w:pStyle w:val="4"/>
              <w:spacing w:after="120"/>
              <w:ind w:firstLine="380"/>
              <w:jc w:val="both"/>
              <w:rPr>
                <w:highlight w:val="none"/>
              </w:rPr>
            </w:pPr>
            <w:r>
              <w:rPr>
                <w:rFonts w:ascii="仿宋_GB2312" w:hAnsi="仿宋_GB2312" w:eastAsia="仿宋_GB2312" w:cs="仿宋_GB2312"/>
                <w:color w:val="000000"/>
                <w:sz w:val="24"/>
                <w:highlight w:val="none"/>
              </w:rPr>
              <w:t>5500</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505D77EC">
            <w:pPr>
              <w:pStyle w:val="4"/>
              <w:spacing w:after="120"/>
              <w:ind w:firstLine="380"/>
              <w:jc w:val="both"/>
              <w:rPr>
                <w:highlight w:val="none"/>
              </w:rPr>
            </w:pPr>
            <w:r>
              <w:rPr>
                <w:rFonts w:ascii="仿宋_GB2312" w:hAnsi="仿宋_GB2312" w:eastAsia="仿宋_GB2312" w:cs="仿宋_GB2312"/>
                <w:color w:val="000000"/>
                <w:sz w:val="24"/>
                <w:highlight w:val="none"/>
              </w:rPr>
              <w:t>33</w:t>
            </w:r>
          </w:p>
        </w:tc>
        <w:tc>
          <w:tcPr>
            <w:tcW w:w="1410" w:type="dxa"/>
            <w:tcBorders>
              <w:top w:val="nil"/>
              <w:left w:val="nil"/>
              <w:bottom w:val="single" w:color="000000" w:sz="4" w:space="0"/>
              <w:right w:val="single" w:color="000000" w:sz="4" w:space="0"/>
            </w:tcBorders>
            <w:tcMar>
              <w:top w:w="0" w:type="dxa"/>
              <w:left w:w="90" w:type="dxa"/>
              <w:bottom w:w="0" w:type="dxa"/>
              <w:right w:w="90" w:type="dxa"/>
            </w:tcMar>
            <w:vAlign w:val="top"/>
          </w:tcPr>
          <w:p w14:paraId="19BF044A">
            <w:pPr>
              <w:pStyle w:val="4"/>
              <w:spacing w:after="120"/>
              <w:ind w:firstLine="380"/>
              <w:jc w:val="both"/>
              <w:rPr>
                <w:highlight w:val="none"/>
              </w:rPr>
            </w:pPr>
            <w:r>
              <w:rPr>
                <w:rFonts w:ascii="仿宋_GB2312" w:hAnsi="仿宋_GB2312" w:eastAsia="仿宋_GB2312" w:cs="仿宋_GB2312"/>
                <w:color w:val="000000"/>
                <w:sz w:val="24"/>
                <w:highlight w:val="none"/>
              </w:rPr>
              <w:t>学生宿舍楼</w:t>
            </w:r>
          </w:p>
        </w:tc>
        <w:tc>
          <w:tcPr>
            <w:tcW w:w="620" w:type="dxa"/>
            <w:tcBorders>
              <w:top w:val="nil"/>
              <w:left w:val="nil"/>
              <w:bottom w:val="single" w:color="000000" w:sz="4" w:space="0"/>
              <w:right w:val="single" w:color="000000" w:sz="4" w:space="0"/>
            </w:tcBorders>
            <w:tcMar>
              <w:top w:w="0" w:type="dxa"/>
              <w:left w:w="90" w:type="dxa"/>
              <w:bottom w:w="0" w:type="dxa"/>
              <w:right w:w="90" w:type="dxa"/>
            </w:tcMar>
            <w:vAlign w:val="top"/>
          </w:tcPr>
          <w:p w14:paraId="31745645">
            <w:pPr>
              <w:pStyle w:val="4"/>
              <w:spacing w:after="120"/>
              <w:ind w:firstLine="380"/>
              <w:jc w:val="both"/>
              <w:rPr>
                <w:highlight w:val="none"/>
              </w:rPr>
            </w:pPr>
            <w:r>
              <w:rPr>
                <w:rFonts w:ascii="仿宋_GB2312" w:hAnsi="仿宋_GB2312" w:eastAsia="仿宋_GB2312" w:cs="仿宋_GB2312"/>
                <w:color w:val="000000"/>
                <w:sz w:val="24"/>
                <w:highlight w:val="none"/>
              </w:rPr>
              <w:t>6</w:t>
            </w:r>
          </w:p>
        </w:tc>
        <w:tc>
          <w:tcPr>
            <w:tcW w:w="1255" w:type="dxa"/>
            <w:tcBorders>
              <w:top w:val="nil"/>
              <w:left w:val="nil"/>
              <w:bottom w:val="single" w:color="000000" w:sz="4" w:space="0"/>
              <w:right w:val="single" w:color="000000" w:sz="4" w:space="0"/>
            </w:tcBorders>
            <w:tcMar>
              <w:top w:w="0" w:type="dxa"/>
              <w:left w:w="90" w:type="dxa"/>
              <w:bottom w:w="0" w:type="dxa"/>
              <w:right w:w="90" w:type="dxa"/>
            </w:tcMar>
            <w:vAlign w:val="top"/>
          </w:tcPr>
          <w:p w14:paraId="63D20E19">
            <w:pPr>
              <w:pStyle w:val="4"/>
              <w:spacing w:after="120"/>
              <w:ind w:firstLine="380"/>
              <w:jc w:val="both"/>
              <w:rPr>
                <w:highlight w:val="none"/>
              </w:rPr>
            </w:pPr>
            <w:r>
              <w:rPr>
                <w:rFonts w:ascii="仿宋_GB2312" w:hAnsi="仿宋_GB2312" w:eastAsia="仿宋_GB2312" w:cs="仿宋_GB2312"/>
                <w:color w:val="000000"/>
                <w:sz w:val="24"/>
                <w:highlight w:val="none"/>
              </w:rPr>
              <w:t>2640</w:t>
            </w:r>
          </w:p>
        </w:tc>
      </w:tr>
      <w:tr w14:paraId="230E740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00960B97">
            <w:pPr>
              <w:pStyle w:val="4"/>
              <w:spacing w:after="120"/>
              <w:ind w:firstLine="380"/>
              <w:jc w:val="both"/>
              <w:rPr>
                <w:highlight w:val="none"/>
              </w:rPr>
            </w:pPr>
            <w:r>
              <w:rPr>
                <w:rFonts w:ascii="仿宋_GB2312" w:hAnsi="仿宋_GB2312" w:eastAsia="仿宋_GB2312" w:cs="仿宋_GB2312"/>
                <w:color w:val="000000"/>
                <w:sz w:val="24"/>
                <w:highlight w:val="none"/>
              </w:rPr>
              <w:t>9</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6338A5D1">
            <w:pPr>
              <w:pStyle w:val="4"/>
              <w:spacing w:after="120"/>
              <w:ind w:firstLine="380"/>
              <w:jc w:val="both"/>
              <w:rPr>
                <w:highlight w:val="none"/>
              </w:rPr>
            </w:pPr>
            <w:r>
              <w:rPr>
                <w:rFonts w:ascii="仿宋_GB2312" w:hAnsi="仿宋_GB2312" w:eastAsia="仿宋_GB2312" w:cs="仿宋_GB2312"/>
                <w:color w:val="000000"/>
                <w:sz w:val="24"/>
                <w:highlight w:val="none"/>
              </w:rPr>
              <w:t>文体中心</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2A343E76">
            <w:pPr>
              <w:pStyle w:val="4"/>
              <w:spacing w:after="120"/>
              <w:ind w:firstLine="380"/>
              <w:jc w:val="both"/>
              <w:rPr>
                <w:highlight w:val="none"/>
              </w:rPr>
            </w:pPr>
            <w:r>
              <w:rPr>
                <w:rFonts w:ascii="仿宋_GB2312" w:hAnsi="仿宋_GB2312" w:eastAsia="仿宋_GB2312" w:cs="仿宋_GB2312"/>
                <w:color w:val="000000"/>
                <w:sz w:val="24"/>
                <w:highlight w:val="none"/>
              </w:rPr>
              <w:t>1</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109A8509">
            <w:pPr>
              <w:pStyle w:val="4"/>
              <w:spacing w:after="120"/>
              <w:ind w:firstLine="380"/>
              <w:jc w:val="both"/>
              <w:rPr>
                <w:highlight w:val="none"/>
              </w:rPr>
            </w:pPr>
            <w:r>
              <w:rPr>
                <w:rFonts w:ascii="仿宋_GB2312" w:hAnsi="仿宋_GB2312" w:eastAsia="仿宋_GB2312" w:cs="仿宋_GB2312"/>
                <w:color w:val="000000"/>
                <w:sz w:val="24"/>
                <w:highlight w:val="none"/>
              </w:rPr>
              <w:t>1040</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68856E35">
            <w:pPr>
              <w:pStyle w:val="4"/>
              <w:spacing w:after="120"/>
              <w:ind w:firstLine="380"/>
              <w:jc w:val="both"/>
              <w:rPr>
                <w:highlight w:val="none"/>
              </w:rPr>
            </w:pPr>
            <w:r>
              <w:rPr>
                <w:rFonts w:ascii="仿宋_GB2312" w:hAnsi="仿宋_GB2312" w:eastAsia="仿宋_GB2312" w:cs="仿宋_GB2312"/>
                <w:color w:val="000000"/>
                <w:sz w:val="24"/>
                <w:highlight w:val="none"/>
              </w:rPr>
              <w:t>34</w:t>
            </w:r>
          </w:p>
        </w:tc>
        <w:tc>
          <w:tcPr>
            <w:tcW w:w="1410" w:type="dxa"/>
            <w:tcBorders>
              <w:top w:val="nil"/>
              <w:left w:val="nil"/>
              <w:bottom w:val="single" w:color="000000" w:sz="4" w:space="0"/>
              <w:right w:val="single" w:color="000000" w:sz="4" w:space="0"/>
            </w:tcBorders>
            <w:tcMar>
              <w:top w:w="0" w:type="dxa"/>
              <w:left w:w="90" w:type="dxa"/>
              <w:bottom w:w="0" w:type="dxa"/>
              <w:right w:w="90" w:type="dxa"/>
            </w:tcMar>
            <w:vAlign w:val="top"/>
          </w:tcPr>
          <w:p w14:paraId="5A6F00EE">
            <w:pPr>
              <w:pStyle w:val="4"/>
              <w:spacing w:after="120"/>
              <w:ind w:firstLine="380"/>
              <w:jc w:val="both"/>
              <w:rPr>
                <w:highlight w:val="none"/>
              </w:rPr>
            </w:pPr>
            <w:r>
              <w:rPr>
                <w:rFonts w:ascii="仿宋_GB2312" w:hAnsi="仿宋_GB2312" w:eastAsia="仿宋_GB2312" w:cs="仿宋_GB2312"/>
                <w:color w:val="000000"/>
                <w:sz w:val="24"/>
                <w:highlight w:val="none"/>
              </w:rPr>
              <w:t>学生宿舍楼</w:t>
            </w:r>
          </w:p>
        </w:tc>
        <w:tc>
          <w:tcPr>
            <w:tcW w:w="620" w:type="dxa"/>
            <w:tcBorders>
              <w:top w:val="nil"/>
              <w:left w:val="nil"/>
              <w:bottom w:val="single" w:color="000000" w:sz="4" w:space="0"/>
              <w:right w:val="single" w:color="000000" w:sz="4" w:space="0"/>
            </w:tcBorders>
            <w:tcMar>
              <w:top w:w="0" w:type="dxa"/>
              <w:left w:w="90" w:type="dxa"/>
              <w:bottom w:w="0" w:type="dxa"/>
              <w:right w:w="90" w:type="dxa"/>
            </w:tcMar>
            <w:vAlign w:val="top"/>
          </w:tcPr>
          <w:p w14:paraId="1F1061BE">
            <w:pPr>
              <w:pStyle w:val="4"/>
              <w:spacing w:after="120"/>
              <w:ind w:firstLine="380"/>
              <w:jc w:val="both"/>
              <w:rPr>
                <w:highlight w:val="none"/>
              </w:rPr>
            </w:pPr>
            <w:r>
              <w:rPr>
                <w:rFonts w:ascii="仿宋_GB2312" w:hAnsi="仿宋_GB2312" w:eastAsia="仿宋_GB2312" w:cs="仿宋_GB2312"/>
                <w:color w:val="000000"/>
                <w:sz w:val="24"/>
                <w:highlight w:val="none"/>
              </w:rPr>
              <w:t>6</w:t>
            </w:r>
          </w:p>
        </w:tc>
        <w:tc>
          <w:tcPr>
            <w:tcW w:w="1255" w:type="dxa"/>
            <w:tcBorders>
              <w:top w:val="nil"/>
              <w:left w:val="nil"/>
              <w:bottom w:val="single" w:color="000000" w:sz="4" w:space="0"/>
              <w:right w:val="single" w:color="000000" w:sz="4" w:space="0"/>
            </w:tcBorders>
            <w:tcMar>
              <w:top w:w="0" w:type="dxa"/>
              <w:left w:w="90" w:type="dxa"/>
              <w:bottom w:w="0" w:type="dxa"/>
              <w:right w:w="90" w:type="dxa"/>
            </w:tcMar>
            <w:vAlign w:val="top"/>
          </w:tcPr>
          <w:p w14:paraId="359BDB27">
            <w:pPr>
              <w:pStyle w:val="4"/>
              <w:spacing w:after="120"/>
              <w:ind w:firstLine="380"/>
              <w:jc w:val="both"/>
              <w:rPr>
                <w:highlight w:val="none"/>
              </w:rPr>
            </w:pPr>
            <w:r>
              <w:rPr>
                <w:rFonts w:ascii="仿宋_GB2312" w:hAnsi="仿宋_GB2312" w:eastAsia="仿宋_GB2312" w:cs="仿宋_GB2312"/>
                <w:color w:val="000000"/>
                <w:sz w:val="24"/>
                <w:highlight w:val="none"/>
              </w:rPr>
              <w:t>2700</w:t>
            </w:r>
          </w:p>
        </w:tc>
      </w:tr>
      <w:tr w14:paraId="211921C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3700C896">
            <w:pPr>
              <w:pStyle w:val="4"/>
              <w:spacing w:after="120"/>
              <w:ind w:firstLine="380"/>
              <w:jc w:val="both"/>
              <w:rPr>
                <w:highlight w:val="none"/>
              </w:rPr>
            </w:pPr>
            <w:r>
              <w:rPr>
                <w:rFonts w:ascii="仿宋_GB2312" w:hAnsi="仿宋_GB2312" w:eastAsia="仿宋_GB2312" w:cs="仿宋_GB2312"/>
                <w:color w:val="000000"/>
                <w:sz w:val="24"/>
                <w:highlight w:val="none"/>
              </w:rPr>
              <w:t>10</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126CA142">
            <w:pPr>
              <w:pStyle w:val="4"/>
              <w:spacing w:after="120"/>
              <w:ind w:firstLine="380"/>
              <w:jc w:val="both"/>
              <w:rPr>
                <w:highlight w:val="none"/>
              </w:rPr>
            </w:pPr>
            <w:r>
              <w:rPr>
                <w:rFonts w:ascii="仿宋_GB2312" w:hAnsi="仿宋_GB2312" w:eastAsia="仿宋_GB2312" w:cs="仿宋_GB2312"/>
                <w:color w:val="000000"/>
                <w:sz w:val="24"/>
                <w:highlight w:val="none"/>
              </w:rPr>
              <w:t>教学、实训室</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1C5B3C45">
            <w:pPr>
              <w:pStyle w:val="4"/>
              <w:spacing w:after="120"/>
              <w:ind w:firstLine="380"/>
              <w:jc w:val="both"/>
              <w:rPr>
                <w:highlight w:val="none"/>
              </w:rPr>
            </w:pPr>
            <w:r>
              <w:rPr>
                <w:rFonts w:ascii="仿宋_GB2312" w:hAnsi="仿宋_GB2312" w:eastAsia="仿宋_GB2312" w:cs="仿宋_GB2312"/>
                <w:color w:val="000000"/>
                <w:sz w:val="24"/>
                <w:highlight w:val="none"/>
              </w:rPr>
              <w:t>6</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52F20AD0">
            <w:pPr>
              <w:pStyle w:val="4"/>
              <w:spacing w:after="120"/>
              <w:ind w:firstLine="380"/>
              <w:jc w:val="both"/>
              <w:rPr>
                <w:highlight w:val="none"/>
              </w:rPr>
            </w:pPr>
            <w:r>
              <w:rPr>
                <w:rFonts w:ascii="仿宋_GB2312" w:hAnsi="仿宋_GB2312" w:eastAsia="仿宋_GB2312" w:cs="仿宋_GB2312"/>
                <w:color w:val="000000"/>
                <w:sz w:val="24"/>
                <w:highlight w:val="none"/>
              </w:rPr>
              <w:t>3600</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62B12D7B">
            <w:pPr>
              <w:pStyle w:val="4"/>
              <w:spacing w:after="120"/>
              <w:ind w:firstLine="380"/>
              <w:jc w:val="both"/>
              <w:rPr>
                <w:highlight w:val="none"/>
              </w:rPr>
            </w:pPr>
            <w:r>
              <w:rPr>
                <w:rFonts w:ascii="仿宋_GB2312" w:hAnsi="仿宋_GB2312" w:eastAsia="仿宋_GB2312" w:cs="仿宋_GB2312"/>
                <w:color w:val="000000"/>
                <w:sz w:val="24"/>
                <w:highlight w:val="none"/>
              </w:rPr>
              <w:t>35</w:t>
            </w:r>
          </w:p>
        </w:tc>
        <w:tc>
          <w:tcPr>
            <w:tcW w:w="1410" w:type="dxa"/>
            <w:tcBorders>
              <w:top w:val="nil"/>
              <w:left w:val="nil"/>
              <w:bottom w:val="single" w:color="000000" w:sz="4" w:space="0"/>
              <w:right w:val="single" w:color="000000" w:sz="4" w:space="0"/>
            </w:tcBorders>
            <w:tcMar>
              <w:top w:w="0" w:type="dxa"/>
              <w:left w:w="90" w:type="dxa"/>
              <w:bottom w:w="0" w:type="dxa"/>
              <w:right w:w="90" w:type="dxa"/>
            </w:tcMar>
            <w:vAlign w:val="top"/>
          </w:tcPr>
          <w:p w14:paraId="4ED5E843">
            <w:pPr>
              <w:pStyle w:val="4"/>
              <w:spacing w:after="120"/>
              <w:ind w:firstLine="380"/>
              <w:jc w:val="both"/>
              <w:rPr>
                <w:highlight w:val="none"/>
              </w:rPr>
            </w:pPr>
            <w:r>
              <w:rPr>
                <w:rFonts w:ascii="仿宋_GB2312" w:hAnsi="仿宋_GB2312" w:eastAsia="仿宋_GB2312" w:cs="仿宋_GB2312"/>
                <w:color w:val="000000"/>
                <w:sz w:val="24"/>
                <w:highlight w:val="none"/>
              </w:rPr>
              <w:t>船舶轮机训练馆</w:t>
            </w:r>
          </w:p>
        </w:tc>
        <w:tc>
          <w:tcPr>
            <w:tcW w:w="620" w:type="dxa"/>
            <w:tcBorders>
              <w:top w:val="nil"/>
              <w:left w:val="nil"/>
              <w:bottom w:val="single" w:color="000000" w:sz="4" w:space="0"/>
              <w:right w:val="single" w:color="000000" w:sz="4" w:space="0"/>
            </w:tcBorders>
            <w:tcMar>
              <w:top w:w="0" w:type="dxa"/>
              <w:left w:w="90" w:type="dxa"/>
              <w:bottom w:w="0" w:type="dxa"/>
              <w:right w:w="90" w:type="dxa"/>
            </w:tcMar>
            <w:vAlign w:val="top"/>
          </w:tcPr>
          <w:p w14:paraId="5C79DBB7">
            <w:pPr>
              <w:pStyle w:val="4"/>
              <w:spacing w:after="120"/>
              <w:ind w:firstLine="380"/>
              <w:jc w:val="both"/>
              <w:rPr>
                <w:highlight w:val="none"/>
              </w:rPr>
            </w:pPr>
            <w:r>
              <w:rPr>
                <w:rFonts w:ascii="仿宋_GB2312" w:hAnsi="仿宋_GB2312" w:eastAsia="仿宋_GB2312" w:cs="仿宋_GB2312"/>
                <w:color w:val="000000"/>
                <w:sz w:val="24"/>
                <w:highlight w:val="none"/>
              </w:rPr>
              <w:t>1</w:t>
            </w:r>
          </w:p>
        </w:tc>
        <w:tc>
          <w:tcPr>
            <w:tcW w:w="1255" w:type="dxa"/>
            <w:tcBorders>
              <w:top w:val="nil"/>
              <w:left w:val="nil"/>
              <w:bottom w:val="single" w:color="000000" w:sz="4" w:space="0"/>
              <w:right w:val="single" w:color="000000" w:sz="4" w:space="0"/>
            </w:tcBorders>
            <w:tcMar>
              <w:top w:w="0" w:type="dxa"/>
              <w:left w:w="90" w:type="dxa"/>
              <w:bottom w:w="0" w:type="dxa"/>
              <w:right w:w="90" w:type="dxa"/>
            </w:tcMar>
            <w:vAlign w:val="top"/>
          </w:tcPr>
          <w:p w14:paraId="12036F01">
            <w:pPr>
              <w:pStyle w:val="4"/>
              <w:spacing w:after="120"/>
              <w:ind w:firstLine="380"/>
              <w:jc w:val="both"/>
              <w:rPr>
                <w:highlight w:val="none"/>
              </w:rPr>
            </w:pPr>
            <w:r>
              <w:rPr>
                <w:rFonts w:ascii="仿宋_GB2312" w:hAnsi="仿宋_GB2312" w:eastAsia="仿宋_GB2312" w:cs="仿宋_GB2312"/>
                <w:color w:val="000000"/>
                <w:sz w:val="24"/>
                <w:highlight w:val="none"/>
              </w:rPr>
              <w:t>1000</w:t>
            </w:r>
          </w:p>
        </w:tc>
      </w:tr>
      <w:tr w14:paraId="51E80F2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6ECE8F8C">
            <w:pPr>
              <w:pStyle w:val="4"/>
              <w:spacing w:after="120"/>
              <w:ind w:firstLine="380"/>
              <w:jc w:val="both"/>
              <w:rPr>
                <w:highlight w:val="none"/>
              </w:rPr>
            </w:pPr>
            <w:r>
              <w:rPr>
                <w:rFonts w:ascii="仿宋_GB2312" w:hAnsi="仿宋_GB2312" w:eastAsia="仿宋_GB2312" w:cs="仿宋_GB2312"/>
                <w:color w:val="000000"/>
                <w:sz w:val="24"/>
                <w:highlight w:val="none"/>
              </w:rPr>
              <w:t>11</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40E36320">
            <w:pPr>
              <w:pStyle w:val="4"/>
              <w:spacing w:after="120"/>
              <w:ind w:firstLine="380"/>
              <w:jc w:val="both"/>
              <w:rPr>
                <w:highlight w:val="none"/>
              </w:rPr>
            </w:pPr>
            <w:r>
              <w:rPr>
                <w:rFonts w:ascii="仿宋_GB2312" w:hAnsi="仿宋_GB2312" w:eastAsia="仿宋_GB2312" w:cs="仿宋_GB2312"/>
                <w:color w:val="000000"/>
                <w:sz w:val="24"/>
                <w:highlight w:val="none"/>
              </w:rPr>
              <w:t>汽车实训楼</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3FB71312">
            <w:pPr>
              <w:pStyle w:val="4"/>
              <w:spacing w:after="120"/>
              <w:ind w:firstLine="380"/>
              <w:jc w:val="both"/>
              <w:rPr>
                <w:highlight w:val="none"/>
              </w:rPr>
            </w:pPr>
            <w:r>
              <w:rPr>
                <w:rFonts w:ascii="仿宋_GB2312" w:hAnsi="仿宋_GB2312" w:eastAsia="仿宋_GB2312" w:cs="仿宋_GB2312"/>
                <w:color w:val="000000"/>
                <w:sz w:val="24"/>
                <w:highlight w:val="none"/>
              </w:rPr>
              <w:t>2</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287C251C">
            <w:pPr>
              <w:pStyle w:val="4"/>
              <w:spacing w:after="120"/>
              <w:ind w:firstLine="380"/>
              <w:jc w:val="both"/>
              <w:rPr>
                <w:highlight w:val="none"/>
              </w:rPr>
            </w:pPr>
            <w:r>
              <w:rPr>
                <w:rFonts w:ascii="仿宋_GB2312" w:hAnsi="仿宋_GB2312" w:eastAsia="仿宋_GB2312" w:cs="仿宋_GB2312"/>
                <w:color w:val="000000"/>
                <w:sz w:val="24"/>
                <w:highlight w:val="none"/>
              </w:rPr>
              <w:t>1853</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2B4D043D">
            <w:pPr>
              <w:pStyle w:val="4"/>
              <w:spacing w:after="120"/>
              <w:ind w:firstLine="380"/>
              <w:jc w:val="both"/>
              <w:rPr>
                <w:highlight w:val="none"/>
              </w:rPr>
            </w:pPr>
            <w:r>
              <w:rPr>
                <w:rFonts w:ascii="仿宋_GB2312" w:hAnsi="仿宋_GB2312" w:eastAsia="仿宋_GB2312" w:cs="仿宋_GB2312"/>
                <w:color w:val="000000"/>
                <w:sz w:val="24"/>
                <w:highlight w:val="none"/>
              </w:rPr>
              <w:t>36</w:t>
            </w:r>
          </w:p>
        </w:tc>
        <w:tc>
          <w:tcPr>
            <w:tcW w:w="1410" w:type="dxa"/>
            <w:tcBorders>
              <w:top w:val="nil"/>
              <w:left w:val="nil"/>
              <w:bottom w:val="single" w:color="000000" w:sz="4" w:space="0"/>
              <w:right w:val="single" w:color="000000" w:sz="4" w:space="0"/>
            </w:tcBorders>
            <w:tcMar>
              <w:top w:w="0" w:type="dxa"/>
              <w:left w:w="90" w:type="dxa"/>
              <w:bottom w:w="0" w:type="dxa"/>
              <w:right w:w="90" w:type="dxa"/>
            </w:tcMar>
            <w:vAlign w:val="top"/>
          </w:tcPr>
          <w:p w14:paraId="5B812D48">
            <w:pPr>
              <w:pStyle w:val="4"/>
              <w:spacing w:after="120"/>
              <w:ind w:firstLine="380"/>
              <w:jc w:val="both"/>
              <w:rPr>
                <w:highlight w:val="none"/>
              </w:rPr>
            </w:pPr>
            <w:r>
              <w:rPr>
                <w:rFonts w:ascii="仿宋_GB2312" w:hAnsi="仿宋_GB2312" w:eastAsia="仿宋_GB2312" w:cs="仿宋_GB2312"/>
                <w:color w:val="000000"/>
                <w:sz w:val="24"/>
                <w:highlight w:val="none"/>
              </w:rPr>
              <w:t>实验楼</w:t>
            </w:r>
          </w:p>
        </w:tc>
        <w:tc>
          <w:tcPr>
            <w:tcW w:w="620" w:type="dxa"/>
            <w:tcBorders>
              <w:top w:val="nil"/>
              <w:left w:val="nil"/>
              <w:bottom w:val="single" w:color="000000" w:sz="4" w:space="0"/>
              <w:right w:val="single" w:color="000000" w:sz="4" w:space="0"/>
            </w:tcBorders>
            <w:tcMar>
              <w:top w:w="0" w:type="dxa"/>
              <w:left w:w="90" w:type="dxa"/>
              <w:bottom w:w="0" w:type="dxa"/>
              <w:right w:w="90" w:type="dxa"/>
            </w:tcMar>
            <w:vAlign w:val="top"/>
          </w:tcPr>
          <w:p w14:paraId="3324C03B">
            <w:pPr>
              <w:pStyle w:val="4"/>
              <w:spacing w:after="120"/>
              <w:ind w:firstLine="380"/>
              <w:jc w:val="both"/>
              <w:rPr>
                <w:highlight w:val="none"/>
              </w:rPr>
            </w:pPr>
            <w:r>
              <w:rPr>
                <w:rFonts w:ascii="仿宋_GB2312" w:hAnsi="仿宋_GB2312" w:eastAsia="仿宋_GB2312" w:cs="仿宋_GB2312"/>
                <w:color w:val="000000"/>
                <w:sz w:val="24"/>
                <w:highlight w:val="none"/>
              </w:rPr>
              <w:t>6</w:t>
            </w:r>
          </w:p>
        </w:tc>
        <w:tc>
          <w:tcPr>
            <w:tcW w:w="1255" w:type="dxa"/>
            <w:tcBorders>
              <w:top w:val="nil"/>
              <w:left w:val="nil"/>
              <w:bottom w:val="single" w:color="000000" w:sz="4" w:space="0"/>
              <w:right w:val="single" w:color="000000" w:sz="4" w:space="0"/>
            </w:tcBorders>
            <w:tcMar>
              <w:top w:w="0" w:type="dxa"/>
              <w:left w:w="90" w:type="dxa"/>
              <w:bottom w:w="0" w:type="dxa"/>
              <w:right w:w="90" w:type="dxa"/>
            </w:tcMar>
            <w:vAlign w:val="top"/>
          </w:tcPr>
          <w:p w14:paraId="54BE2CC3">
            <w:pPr>
              <w:pStyle w:val="4"/>
              <w:spacing w:after="120"/>
              <w:ind w:firstLine="380"/>
              <w:jc w:val="both"/>
              <w:rPr>
                <w:highlight w:val="none"/>
              </w:rPr>
            </w:pPr>
            <w:r>
              <w:rPr>
                <w:rFonts w:ascii="仿宋_GB2312" w:hAnsi="仿宋_GB2312" w:eastAsia="仿宋_GB2312" w:cs="仿宋_GB2312"/>
                <w:color w:val="000000"/>
                <w:sz w:val="24"/>
                <w:highlight w:val="none"/>
              </w:rPr>
              <w:t>2946</w:t>
            </w:r>
          </w:p>
        </w:tc>
      </w:tr>
      <w:tr w14:paraId="4BA33B0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67C537F2">
            <w:pPr>
              <w:pStyle w:val="4"/>
              <w:spacing w:after="120"/>
              <w:ind w:firstLine="380"/>
              <w:jc w:val="both"/>
              <w:rPr>
                <w:highlight w:val="none"/>
              </w:rPr>
            </w:pPr>
            <w:r>
              <w:rPr>
                <w:rFonts w:ascii="仿宋_GB2312" w:hAnsi="仿宋_GB2312" w:eastAsia="仿宋_GB2312" w:cs="仿宋_GB2312"/>
                <w:color w:val="000000"/>
                <w:sz w:val="24"/>
                <w:highlight w:val="none"/>
              </w:rPr>
              <w:t>12</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09BB9C69">
            <w:pPr>
              <w:pStyle w:val="4"/>
              <w:spacing w:after="120"/>
              <w:ind w:firstLine="380"/>
              <w:jc w:val="both"/>
              <w:rPr>
                <w:highlight w:val="none"/>
              </w:rPr>
            </w:pPr>
            <w:r>
              <w:rPr>
                <w:rFonts w:ascii="仿宋_GB2312" w:hAnsi="仿宋_GB2312" w:eastAsia="仿宋_GB2312" w:cs="仿宋_GB2312"/>
                <w:color w:val="000000"/>
                <w:sz w:val="24"/>
                <w:highlight w:val="none"/>
              </w:rPr>
              <w:t>食堂</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00892D70">
            <w:pPr>
              <w:pStyle w:val="4"/>
              <w:spacing w:after="120"/>
              <w:ind w:firstLine="380"/>
              <w:jc w:val="both"/>
              <w:rPr>
                <w:highlight w:val="none"/>
              </w:rPr>
            </w:pPr>
            <w:r>
              <w:rPr>
                <w:rFonts w:ascii="仿宋_GB2312" w:hAnsi="仿宋_GB2312" w:eastAsia="仿宋_GB2312" w:cs="仿宋_GB2312"/>
                <w:color w:val="000000"/>
                <w:sz w:val="24"/>
                <w:highlight w:val="none"/>
              </w:rPr>
              <w:t>2</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7DFE74A0">
            <w:pPr>
              <w:pStyle w:val="4"/>
              <w:spacing w:after="120"/>
              <w:ind w:firstLine="380"/>
              <w:jc w:val="both"/>
              <w:rPr>
                <w:highlight w:val="none"/>
              </w:rPr>
            </w:pPr>
            <w:r>
              <w:rPr>
                <w:rFonts w:ascii="仿宋_GB2312" w:hAnsi="仿宋_GB2312" w:eastAsia="仿宋_GB2312" w:cs="仿宋_GB2312"/>
                <w:color w:val="000000"/>
                <w:sz w:val="24"/>
                <w:highlight w:val="none"/>
              </w:rPr>
              <w:t>1117</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4B272E55">
            <w:pPr>
              <w:pStyle w:val="4"/>
              <w:spacing w:after="120"/>
              <w:ind w:firstLine="380"/>
              <w:jc w:val="both"/>
              <w:rPr>
                <w:highlight w:val="none"/>
              </w:rPr>
            </w:pPr>
            <w:r>
              <w:rPr>
                <w:rFonts w:ascii="仿宋_GB2312" w:hAnsi="仿宋_GB2312" w:eastAsia="仿宋_GB2312" w:cs="仿宋_GB2312"/>
                <w:color w:val="000000"/>
                <w:sz w:val="24"/>
                <w:highlight w:val="none"/>
              </w:rPr>
              <w:t>37</w:t>
            </w:r>
          </w:p>
        </w:tc>
        <w:tc>
          <w:tcPr>
            <w:tcW w:w="1410" w:type="dxa"/>
            <w:tcBorders>
              <w:top w:val="nil"/>
              <w:left w:val="nil"/>
              <w:bottom w:val="single" w:color="000000" w:sz="4" w:space="0"/>
              <w:right w:val="single" w:color="000000" w:sz="4" w:space="0"/>
            </w:tcBorders>
            <w:tcMar>
              <w:top w:w="0" w:type="dxa"/>
              <w:left w:w="90" w:type="dxa"/>
              <w:bottom w:w="0" w:type="dxa"/>
              <w:right w:w="90" w:type="dxa"/>
            </w:tcMar>
            <w:vAlign w:val="top"/>
          </w:tcPr>
          <w:p w14:paraId="43E1F7C9">
            <w:pPr>
              <w:pStyle w:val="4"/>
              <w:spacing w:after="120"/>
              <w:ind w:firstLine="380"/>
              <w:jc w:val="both"/>
              <w:rPr>
                <w:highlight w:val="none"/>
              </w:rPr>
            </w:pPr>
            <w:r>
              <w:rPr>
                <w:rFonts w:ascii="仿宋_GB2312" w:hAnsi="仿宋_GB2312" w:eastAsia="仿宋_GB2312" w:cs="仿宋_GB2312"/>
                <w:color w:val="000000"/>
                <w:sz w:val="24"/>
                <w:highlight w:val="none"/>
              </w:rPr>
              <w:t>学生宿舍楼</w:t>
            </w:r>
          </w:p>
        </w:tc>
        <w:tc>
          <w:tcPr>
            <w:tcW w:w="620" w:type="dxa"/>
            <w:tcBorders>
              <w:top w:val="nil"/>
              <w:left w:val="nil"/>
              <w:bottom w:val="single" w:color="000000" w:sz="4" w:space="0"/>
              <w:right w:val="single" w:color="000000" w:sz="4" w:space="0"/>
            </w:tcBorders>
            <w:tcMar>
              <w:top w:w="0" w:type="dxa"/>
              <w:left w:w="90" w:type="dxa"/>
              <w:bottom w:w="0" w:type="dxa"/>
              <w:right w:w="90" w:type="dxa"/>
            </w:tcMar>
            <w:vAlign w:val="top"/>
          </w:tcPr>
          <w:p w14:paraId="76592DC2">
            <w:pPr>
              <w:pStyle w:val="4"/>
              <w:spacing w:after="120"/>
              <w:ind w:firstLine="380"/>
              <w:jc w:val="both"/>
              <w:rPr>
                <w:highlight w:val="none"/>
              </w:rPr>
            </w:pPr>
            <w:r>
              <w:rPr>
                <w:rFonts w:ascii="仿宋_GB2312" w:hAnsi="仿宋_GB2312" w:eastAsia="仿宋_GB2312" w:cs="仿宋_GB2312"/>
                <w:color w:val="000000"/>
                <w:sz w:val="24"/>
                <w:highlight w:val="none"/>
              </w:rPr>
              <w:t>6</w:t>
            </w:r>
          </w:p>
        </w:tc>
        <w:tc>
          <w:tcPr>
            <w:tcW w:w="1255" w:type="dxa"/>
            <w:tcBorders>
              <w:top w:val="nil"/>
              <w:left w:val="nil"/>
              <w:bottom w:val="single" w:color="000000" w:sz="4" w:space="0"/>
              <w:right w:val="single" w:color="000000" w:sz="4" w:space="0"/>
            </w:tcBorders>
            <w:tcMar>
              <w:top w:w="0" w:type="dxa"/>
              <w:left w:w="90" w:type="dxa"/>
              <w:bottom w:w="0" w:type="dxa"/>
              <w:right w:w="90" w:type="dxa"/>
            </w:tcMar>
            <w:vAlign w:val="top"/>
          </w:tcPr>
          <w:p w14:paraId="4D2A5847">
            <w:pPr>
              <w:pStyle w:val="4"/>
              <w:spacing w:after="120"/>
              <w:ind w:firstLine="380"/>
              <w:jc w:val="both"/>
              <w:rPr>
                <w:highlight w:val="none"/>
              </w:rPr>
            </w:pPr>
            <w:r>
              <w:rPr>
                <w:rFonts w:ascii="仿宋_GB2312" w:hAnsi="仿宋_GB2312" w:eastAsia="仿宋_GB2312" w:cs="仿宋_GB2312"/>
                <w:color w:val="000000"/>
                <w:sz w:val="24"/>
                <w:highlight w:val="none"/>
              </w:rPr>
              <w:t>4549</w:t>
            </w:r>
          </w:p>
        </w:tc>
      </w:tr>
      <w:tr w14:paraId="6B9764F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7ECD42A8">
            <w:pPr>
              <w:pStyle w:val="4"/>
              <w:spacing w:after="120"/>
              <w:ind w:firstLine="380"/>
              <w:jc w:val="both"/>
              <w:rPr>
                <w:highlight w:val="none"/>
              </w:rPr>
            </w:pPr>
            <w:r>
              <w:rPr>
                <w:rFonts w:ascii="仿宋_GB2312" w:hAnsi="仿宋_GB2312" w:eastAsia="仿宋_GB2312" w:cs="仿宋_GB2312"/>
                <w:color w:val="000000"/>
                <w:sz w:val="24"/>
                <w:highlight w:val="none"/>
              </w:rPr>
              <w:t>13</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37478DA9">
            <w:pPr>
              <w:pStyle w:val="4"/>
              <w:spacing w:after="120"/>
              <w:ind w:firstLine="380"/>
              <w:jc w:val="both"/>
              <w:rPr>
                <w:highlight w:val="none"/>
              </w:rPr>
            </w:pPr>
            <w:r>
              <w:rPr>
                <w:rFonts w:ascii="仿宋_GB2312" w:hAnsi="仿宋_GB2312" w:eastAsia="仿宋_GB2312" w:cs="仿宋_GB2312"/>
                <w:color w:val="000000"/>
                <w:sz w:val="24"/>
                <w:highlight w:val="none"/>
              </w:rPr>
              <w:t>教工宿舍楼</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683D708E">
            <w:pPr>
              <w:pStyle w:val="4"/>
              <w:spacing w:after="120"/>
              <w:ind w:firstLine="380"/>
              <w:jc w:val="both"/>
              <w:rPr>
                <w:highlight w:val="none"/>
              </w:rPr>
            </w:pPr>
            <w:r>
              <w:rPr>
                <w:rFonts w:ascii="仿宋_GB2312" w:hAnsi="仿宋_GB2312" w:eastAsia="仿宋_GB2312" w:cs="仿宋_GB2312"/>
                <w:color w:val="000000"/>
                <w:sz w:val="24"/>
                <w:highlight w:val="none"/>
              </w:rPr>
              <w:t>5</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2975BC0A">
            <w:pPr>
              <w:pStyle w:val="4"/>
              <w:spacing w:after="120"/>
              <w:ind w:firstLine="380"/>
              <w:jc w:val="both"/>
              <w:rPr>
                <w:highlight w:val="none"/>
              </w:rPr>
            </w:pPr>
            <w:r>
              <w:rPr>
                <w:rFonts w:ascii="仿宋_GB2312" w:hAnsi="仿宋_GB2312" w:eastAsia="仿宋_GB2312" w:cs="仿宋_GB2312"/>
                <w:color w:val="000000"/>
                <w:sz w:val="24"/>
                <w:highlight w:val="none"/>
              </w:rPr>
              <w:t>2286</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6783D9E9">
            <w:pPr>
              <w:pStyle w:val="4"/>
              <w:spacing w:after="120"/>
              <w:ind w:firstLine="380"/>
              <w:jc w:val="both"/>
              <w:rPr>
                <w:highlight w:val="none"/>
              </w:rPr>
            </w:pPr>
            <w:r>
              <w:rPr>
                <w:rFonts w:ascii="仿宋_GB2312" w:hAnsi="仿宋_GB2312" w:eastAsia="仿宋_GB2312" w:cs="仿宋_GB2312"/>
                <w:color w:val="000000"/>
                <w:sz w:val="24"/>
                <w:highlight w:val="none"/>
              </w:rPr>
              <w:t>38</w:t>
            </w:r>
          </w:p>
        </w:tc>
        <w:tc>
          <w:tcPr>
            <w:tcW w:w="1410" w:type="dxa"/>
            <w:tcBorders>
              <w:top w:val="nil"/>
              <w:left w:val="nil"/>
              <w:bottom w:val="single" w:color="000000" w:sz="4" w:space="0"/>
              <w:right w:val="single" w:color="000000" w:sz="4" w:space="0"/>
            </w:tcBorders>
            <w:tcMar>
              <w:top w:w="15" w:type="dxa"/>
              <w:left w:w="15" w:type="dxa"/>
              <w:bottom w:w="15" w:type="dxa"/>
              <w:right w:w="15" w:type="dxa"/>
            </w:tcMar>
            <w:vAlign w:val="top"/>
          </w:tcPr>
          <w:p w14:paraId="395EA7F0">
            <w:pPr>
              <w:pStyle w:val="4"/>
              <w:spacing w:after="120"/>
              <w:ind w:firstLine="380"/>
              <w:jc w:val="both"/>
              <w:rPr>
                <w:highlight w:val="none"/>
              </w:rPr>
            </w:pPr>
            <w:r>
              <w:rPr>
                <w:rFonts w:ascii="仿宋_GB2312" w:hAnsi="仿宋_GB2312" w:eastAsia="仿宋_GB2312" w:cs="仿宋_GB2312"/>
                <w:color w:val="000000"/>
                <w:sz w:val="24"/>
                <w:highlight w:val="none"/>
              </w:rPr>
              <w:t>学生宿舍楼</w:t>
            </w:r>
          </w:p>
        </w:tc>
        <w:tc>
          <w:tcPr>
            <w:tcW w:w="620" w:type="dxa"/>
            <w:tcBorders>
              <w:top w:val="nil"/>
              <w:left w:val="nil"/>
              <w:bottom w:val="single" w:color="000000" w:sz="4" w:space="0"/>
              <w:right w:val="single" w:color="000000" w:sz="4" w:space="0"/>
            </w:tcBorders>
            <w:tcMar>
              <w:top w:w="15" w:type="dxa"/>
              <w:left w:w="15" w:type="dxa"/>
              <w:bottom w:w="15" w:type="dxa"/>
              <w:right w:w="15" w:type="dxa"/>
            </w:tcMar>
            <w:vAlign w:val="top"/>
          </w:tcPr>
          <w:p w14:paraId="1776663D">
            <w:pPr>
              <w:pStyle w:val="4"/>
              <w:spacing w:after="120"/>
              <w:ind w:firstLine="380"/>
              <w:jc w:val="both"/>
              <w:rPr>
                <w:highlight w:val="none"/>
              </w:rPr>
            </w:pPr>
            <w:r>
              <w:rPr>
                <w:rFonts w:ascii="仿宋_GB2312" w:hAnsi="仿宋_GB2312" w:eastAsia="仿宋_GB2312" w:cs="仿宋_GB2312"/>
                <w:color w:val="000000"/>
                <w:sz w:val="24"/>
                <w:highlight w:val="none"/>
              </w:rPr>
              <w:t>6</w:t>
            </w:r>
          </w:p>
        </w:tc>
        <w:tc>
          <w:tcPr>
            <w:tcW w:w="1255" w:type="dxa"/>
            <w:tcBorders>
              <w:top w:val="nil"/>
              <w:left w:val="nil"/>
              <w:bottom w:val="single" w:color="000000" w:sz="4" w:space="0"/>
              <w:right w:val="single" w:color="000000" w:sz="4" w:space="0"/>
            </w:tcBorders>
            <w:tcMar>
              <w:top w:w="15" w:type="dxa"/>
              <w:left w:w="15" w:type="dxa"/>
              <w:bottom w:w="15" w:type="dxa"/>
              <w:right w:w="15" w:type="dxa"/>
            </w:tcMar>
            <w:vAlign w:val="top"/>
          </w:tcPr>
          <w:p w14:paraId="67E24C2E">
            <w:pPr>
              <w:pStyle w:val="4"/>
              <w:spacing w:after="120"/>
              <w:ind w:firstLine="380"/>
              <w:jc w:val="both"/>
              <w:rPr>
                <w:highlight w:val="none"/>
              </w:rPr>
            </w:pPr>
            <w:r>
              <w:rPr>
                <w:rFonts w:ascii="仿宋_GB2312" w:hAnsi="仿宋_GB2312" w:eastAsia="仿宋_GB2312" w:cs="仿宋_GB2312"/>
                <w:color w:val="000000"/>
                <w:sz w:val="24"/>
                <w:highlight w:val="none"/>
              </w:rPr>
              <w:t>5220</w:t>
            </w:r>
          </w:p>
        </w:tc>
      </w:tr>
      <w:tr w14:paraId="681AA4D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4D8C9FC4">
            <w:pPr>
              <w:pStyle w:val="4"/>
              <w:spacing w:after="120"/>
              <w:ind w:firstLine="380"/>
              <w:jc w:val="both"/>
              <w:rPr>
                <w:highlight w:val="none"/>
              </w:rPr>
            </w:pPr>
            <w:r>
              <w:rPr>
                <w:rFonts w:ascii="仿宋_GB2312" w:hAnsi="仿宋_GB2312" w:eastAsia="仿宋_GB2312" w:cs="仿宋_GB2312"/>
                <w:color w:val="000000"/>
                <w:sz w:val="24"/>
                <w:highlight w:val="none"/>
              </w:rPr>
              <w:t>14</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0EE96154">
            <w:pPr>
              <w:pStyle w:val="4"/>
              <w:spacing w:after="120"/>
              <w:ind w:firstLine="380"/>
              <w:jc w:val="both"/>
              <w:rPr>
                <w:highlight w:val="none"/>
              </w:rPr>
            </w:pPr>
            <w:r>
              <w:rPr>
                <w:rFonts w:ascii="仿宋_GB2312" w:hAnsi="仿宋_GB2312" w:eastAsia="仿宋_GB2312" w:cs="仿宋_GB2312"/>
                <w:color w:val="000000"/>
                <w:sz w:val="24"/>
                <w:highlight w:val="none"/>
              </w:rPr>
              <w:t>教工宿舍楼</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1EAB1532">
            <w:pPr>
              <w:pStyle w:val="4"/>
              <w:spacing w:after="120"/>
              <w:ind w:firstLine="380"/>
              <w:jc w:val="both"/>
              <w:rPr>
                <w:highlight w:val="none"/>
              </w:rPr>
            </w:pPr>
            <w:r>
              <w:rPr>
                <w:rFonts w:ascii="仿宋_GB2312" w:hAnsi="仿宋_GB2312" w:eastAsia="仿宋_GB2312" w:cs="仿宋_GB2312"/>
                <w:color w:val="000000"/>
                <w:sz w:val="24"/>
                <w:highlight w:val="none"/>
              </w:rPr>
              <w:t>5</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5EAE1A05">
            <w:pPr>
              <w:pStyle w:val="4"/>
              <w:spacing w:after="120"/>
              <w:ind w:firstLine="380"/>
              <w:jc w:val="both"/>
              <w:rPr>
                <w:highlight w:val="none"/>
              </w:rPr>
            </w:pPr>
            <w:r>
              <w:rPr>
                <w:rFonts w:ascii="仿宋_GB2312" w:hAnsi="仿宋_GB2312" w:eastAsia="仿宋_GB2312" w:cs="仿宋_GB2312"/>
                <w:color w:val="000000"/>
                <w:sz w:val="24"/>
                <w:highlight w:val="none"/>
              </w:rPr>
              <w:t>1998</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4F71CF6A">
            <w:pPr>
              <w:pStyle w:val="4"/>
              <w:spacing w:after="120"/>
              <w:ind w:firstLine="380"/>
              <w:jc w:val="both"/>
              <w:rPr>
                <w:highlight w:val="none"/>
              </w:rPr>
            </w:pPr>
            <w:r>
              <w:rPr>
                <w:rFonts w:ascii="仿宋_GB2312" w:hAnsi="仿宋_GB2312" w:eastAsia="仿宋_GB2312" w:cs="仿宋_GB2312"/>
                <w:color w:val="000000"/>
                <w:sz w:val="24"/>
                <w:highlight w:val="none"/>
              </w:rPr>
              <w:t>39</w:t>
            </w:r>
          </w:p>
        </w:tc>
        <w:tc>
          <w:tcPr>
            <w:tcW w:w="1410" w:type="dxa"/>
            <w:tcBorders>
              <w:top w:val="nil"/>
              <w:left w:val="nil"/>
              <w:bottom w:val="single" w:color="000000" w:sz="4" w:space="0"/>
              <w:right w:val="single" w:color="000000" w:sz="4" w:space="0"/>
            </w:tcBorders>
            <w:tcMar>
              <w:top w:w="0" w:type="dxa"/>
              <w:left w:w="90" w:type="dxa"/>
              <w:bottom w:w="0" w:type="dxa"/>
              <w:right w:w="90" w:type="dxa"/>
            </w:tcMar>
            <w:vAlign w:val="top"/>
          </w:tcPr>
          <w:p w14:paraId="1C8DC268">
            <w:pPr>
              <w:pStyle w:val="4"/>
              <w:spacing w:after="120"/>
              <w:ind w:firstLine="380"/>
              <w:jc w:val="both"/>
              <w:rPr>
                <w:highlight w:val="none"/>
              </w:rPr>
            </w:pPr>
            <w:r>
              <w:rPr>
                <w:rFonts w:ascii="仿宋_GB2312" w:hAnsi="仿宋_GB2312" w:eastAsia="仿宋_GB2312" w:cs="仿宋_GB2312"/>
                <w:color w:val="000000"/>
                <w:sz w:val="24"/>
                <w:highlight w:val="none"/>
              </w:rPr>
              <w:t>1-3层食堂</w:t>
            </w:r>
          </w:p>
          <w:p w14:paraId="42304B8C">
            <w:pPr>
              <w:pStyle w:val="4"/>
              <w:spacing w:after="120"/>
              <w:ind w:firstLine="380"/>
              <w:jc w:val="both"/>
              <w:rPr>
                <w:highlight w:val="none"/>
              </w:rPr>
            </w:pPr>
            <w:r>
              <w:rPr>
                <w:rFonts w:ascii="仿宋_GB2312" w:hAnsi="仿宋_GB2312" w:eastAsia="仿宋_GB2312" w:cs="仿宋_GB2312"/>
                <w:color w:val="000000"/>
                <w:sz w:val="24"/>
                <w:highlight w:val="none"/>
              </w:rPr>
              <w:t>4-6层学生宿舍</w:t>
            </w:r>
          </w:p>
        </w:tc>
        <w:tc>
          <w:tcPr>
            <w:tcW w:w="620" w:type="dxa"/>
            <w:tcBorders>
              <w:top w:val="nil"/>
              <w:left w:val="nil"/>
              <w:bottom w:val="single" w:color="000000" w:sz="4" w:space="0"/>
              <w:right w:val="single" w:color="000000" w:sz="4" w:space="0"/>
            </w:tcBorders>
            <w:tcMar>
              <w:top w:w="0" w:type="dxa"/>
              <w:left w:w="90" w:type="dxa"/>
              <w:bottom w:w="0" w:type="dxa"/>
              <w:right w:w="90" w:type="dxa"/>
            </w:tcMar>
            <w:vAlign w:val="top"/>
          </w:tcPr>
          <w:p w14:paraId="771B1D1B">
            <w:pPr>
              <w:pStyle w:val="4"/>
              <w:spacing w:after="120"/>
              <w:ind w:firstLine="380"/>
              <w:jc w:val="both"/>
              <w:rPr>
                <w:highlight w:val="none"/>
              </w:rPr>
            </w:pPr>
            <w:r>
              <w:rPr>
                <w:rFonts w:ascii="仿宋_GB2312" w:hAnsi="仿宋_GB2312" w:eastAsia="仿宋_GB2312" w:cs="仿宋_GB2312"/>
                <w:color w:val="000000"/>
                <w:sz w:val="24"/>
                <w:highlight w:val="none"/>
              </w:rPr>
              <w:t>6+1</w:t>
            </w:r>
          </w:p>
        </w:tc>
        <w:tc>
          <w:tcPr>
            <w:tcW w:w="1255" w:type="dxa"/>
            <w:tcBorders>
              <w:top w:val="nil"/>
              <w:left w:val="nil"/>
              <w:bottom w:val="single" w:color="000000" w:sz="4" w:space="0"/>
              <w:right w:val="single" w:color="000000" w:sz="4" w:space="0"/>
            </w:tcBorders>
            <w:tcMar>
              <w:top w:w="0" w:type="dxa"/>
              <w:left w:w="90" w:type="dxa"/>
              <w:bottom w:w="0" w:type="dxa"/>
              <w:right w:w="90" w:type="dxa"/>
            </w:tcMar>
            <w:vAlign w:val="top"/>
          </w:tcPr>
          <w:p w14:paraId="74C8A61A">
            <w:pPr>
              <w:pStyle w:val="4"/>
              <w:spacing w:after="120"/>
              <w:ind w:firstLine="380"/>
              <w:jc w:val="both"/>
              <w:rPr>
                <w:highlight w:val="none"/>
              </w:rPr>
            </w:pPr>
            <w:r>
              <w:rPr>
                <w:rFonts w:ascii="仿宋_GB2312" w:hAnsi="仿宋_GB2312" w:eastAsia="仿宋_GB2312" w:cs="仿宋_GB2312"/>
                <w:color w:val="000000"/>
                <w:sz w:val="24"/>
                <w:highlight w:val="none"/>
              </w:rPr>
              <w:t>6656</w:t>
            </w:r>
          </w:p>
        </w:tc>
      </w:tr>
      <w:tr w14:paraId="6AF5861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704FD72E">
            <w:pPr>
              <w:pStyle w:val="4"/>
              <w:spacing w:after="120"/>
              <w:ind w:firstLine="380"/>
              <w:jc w:val="both"/>
              <w:rPr>
                <w:highlight w:val="none"/>
              </w:rPr>
            </w:pPr>
            <w:r>
              <w:rPr>
                <w:rFonts w:ascii="仿宋_GB2312" w:hAnsi="仿宋_GB2312" w:eastAsia="仿宋_GB2312" w:cs="仿宋_GB2312"/>
                <w:color w:val="000000"/>
                <w:sz w:val="24"/>
                <w:highlight w:val="none"/>
              </w:rPr>
              <w:t>15</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2A5A2CE9">
            <w:pPr>
              <w:pStyle w:val="4"/>
              <w:spacing w:after="120"/>
              <w:ind w:firstLine="380"/>
              <w:jc w:val="both"/>
              <w:rPr>
                <w:highlight w:val="none"/>
              </w:rPr>
            </w:pPr>
            <w:r>
              <w:rPr>
                <w:rFonts w:ascii="仿宋_GB2312" w:hAnsi="仿宋_GB2312" w:eastAsia="仿宋_GB2312" w:cs="仿宋_GB2312"/>
                <w:color w:val="000000"/>
                <w:sz w:val="24"/>
                <w:highlight w:val="none"/>
              </w:rPr>
              <w:t>教工宿舍楼</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36F2F508">
            <w:pPr>
              <w:pStyle w:val="4"/>
              <w:spacing w:after="120"/>
              <w:ind w:firstLine="380"/>
              <w:jc w:val="both"/>
              <w:rPr>
                <w:highlight w:val="none"/>
              </w:rPr>
            </w:pPr>
            <w:r>
              <w:rPr>
                <w:rFonts w:ascii="仿宋_GB2312" w:hAnsi="仿宋_GB2312" w:eastAsia="仿宋_GB2312" w:cs="仿宋_GB2312"/>
                <w:color w:val="000000"/>
                <w:sz w:val="24"/>
                <w:highlight w:val="none"/>
              </w:rPr>
              <w:t>6</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56755EEA">
            <w:pPr>
              <w:pStyle w:val="4"/>
              <w:spacing w:after="120"/>
              <w:ind w:firstLine="380"/>
              <w:jc w:val="both"/>
              <w:rPr>
                <w:highlight w:val="none"/>
              </w:rPr>
            </w:pPr>
            <w:r>
              <w:rPr>
                <w:rFonts w:ascii="仿宋_GB2312" w:hAnsi="仿宋_GB2312" w:eastAsia="仿宋_GB2312" w:cs="仿宋_GB2312"/>
                <w:color w:val="000000"/>
                <w:sz w:val="24"/>
                <w:highlight w:val="none"/>
              </w:rPr>
              <w:t>2464</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7F9D966E">
            <w:pPr>
              <w:pStyle w:val="4"/>
              <w:spacing w:after="120"/>
              <w:ind w:firstLine="380"/>
              <w:jc w:val="both"/>
              <w:rPr>
                <w:highlight w:val="none"/>
              </w:rPr>
            </w:pPr>
            <w:r>
              <w:rPr>
                <w:rFonts w:ascii="仿宋_GB2312" w:hAnsi="仿宋_GB2312" w:eastAsia="仿宋_GB2312" w:cs="仿宋_GB2312"/>
                <w:color w:val="000000"/>
                <w:sz w:val="24"/>
                <w:highlight w:val="none"/>
              </w:rPr>
              <w:t>40</w:t>
            </w:r>
          </w:p>
        </w:tc>
        <w:tc>
          <w:tcPr>
            <w:tcW w:w="1410" w:type="dxa"/>
            <w:tcBorders>
              <w:top w:val="nil"/>
              <w:left w:val="nil"/>
              <w:bottom w:val="single" w:color="000000" w:sz="4" w:space="0"/>
              <w:right w:val="single" w:color="000000" w:sz="4" w:space="0"/>
            </w:tcBorders>
            <w:tcMar>
              <w:top w:w="15" w:type="dxa"/>
              <w:left w:w="15" w:type="dxa"/>
              <w:bottom w:w="15" w:type="dxa"/>
              <w:right w:w="15" w:type="dxa"/>
            </w:tcMar>
            <w:vAlign w:val="top"/>
          </w:tcPr>
          <w:p w14:paraId="2F7733E2">
            <w:pPr>
              <w:pStyle w:val="4"/>
              <w:spacing w:after="120"/>
              <w:ind w:firstLine="380"/>
              <w:jc w:val="both"/>
              <w:rPr>
                <w:highlight w:val="none"/>
              </w:rPr>
            </w:pPr>
            <w:r>
              <w:rPr>
                <w:rFonts w:ascii="仿宋_GB2312" w:hAnsi="仿宋_GB2312" w:eastAsia="仿宋_GB2312" w:cs="仿宋_GB2312"/>
                <w:color w:val="000000"/>
                <w:sz w:val="24"/>
                <w:highlight w:val="none"/>
              </w:rPr>
              <w:t>学生宿舍楼</w:t>
            </w:r>
          </w:p>
        </w:tc>
        <w:tc>
          <w:tcPr>
            <w:tcW w:w="620" w:type="dxa"/>
            <w:tcBorders>
              <w:top w:val="nil"/>
              <w:left w:val="nil"/>
              <w:bottom w:val="single" w:color="000000" w:sz="4" w:space="0"/>
              <w:right w:val="single" w:color="000000" w:sz="4" w:space="0"/>
            </w:tcBorders>
            <w:tcMar>
              <w:top w:w="15" w:type="dxa"/>
              <w:left w:w="15" w:type="dxa"/>
              <w:bottom w:w="15" w:type="dxa"/>
              <w:right w:w="15" w:type="dxa"/>
            </w:tcMar>
            <w:vAlign w:val="top"/>
          </w:tcPr>
          <w:p w14:paraId="6F30FD94">
            <w:pPr>
              <w:pStyle w:val="4"/>
              <w:spacing w:after="120"/>
              <w:ind w:firstLine="380"/>
              <w:jc w:val="both"/>
              <w:rPr>
                <w:highlight w:val="none"/>
              </w:rPr>
            </w:pPr>
            <w:r>
              <w:rPr>
                <w:rFonts w:ascii="仿宋_GB2312" w:hAnsi="仿宋_GB2312" w:eastAsia="仿宋_GB2312" w:cs="仿宋_GB2312"/>
                <w:color w:val="000000"/>
                <w:sz w:val="24"/>
                <w:highlight w:val="none"/>
              </w:rPr>
              <w:t>6</w:t>
            </w:r>
          </w:p>
        </w:tc>
        <w:tc>
          <w:tcPr>
            <w:tcW w:w="1255" w:type="dxa"/>
            <w:tcBorders>
              <w:top w:val="nil"/>
              <w:left w:val="nil"/>
              <w:bottom w:val="single" w:color="000000" w:sz="4" w:space="0"/>
              <w:right w:val="single" w:color="000000" w:sz="4" w:space="0"/>
            </w:tcBorders>
            <w:tcMar>
              <w:top w:w="15" w:type="dxa"/>
              <w:left w:w="15" w:type="dxa"/>
              <w:bottom w:w="15" w:type="dxa"/>
              <w:right w:w="15" w:type="dxa"/>
            </w:tcMar>
            <w:vAlign w:val="top"/>
          </w:tcPr>
          <w:p w14:paraId="08DF3E5C">
            <w:pPr>
              <w:pStyle w:val="4"/>
              <w:spacing w:after="120"/>
              <w:ind w:firstLine="380"/>
              <w:jc w:val="both"/>
              <w:rPr>
                <w:highlight w:val="none"/>
              </w:rPr>
            </w:pPr>
            <w:r>
              <w:rPr>
                <w:rFonts w:ascii="仿宋_GB2312" w:hAnsi="仿宋_GB2312" w:eastAsia="仿宋_GB2312" w:cs="仿宋_GB2312"/>
                <w:color w:val="000000"/>
                <w:sz w:val="24"/>
                <w:highlight w:val="none"/>
              </w:rPr>
              <w:t>4909</w:t>
            </w:r>
          </w:p>
        </w:tc>
      </w:tr>
      <w:tr w14:paraId="57F89E5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08590DE7">
            <w:pPr>
              <w:pStyle w:val="4"/>
              <w:spacing w:after="120"/>
              <w:ind w:firstLine="380"/>
              <w:jc w:val="both"/>
              <w:rPr>
                <w:highlight w:val="none"/>
              </w:rPr>
            </w:pPr>
            <w:r>
              <w:rPr>
                <w:rFonts w:ascii="仿宋_GB2312" w:hAnsi="仿宋_GB2312" w:eastAsia="仿宋_GB2312" w:cs="仿宋_GB2312"/>
                <w:color w:val="000000"/>
                <w:sz w:val="24"/>
                <w:highlight w:val="none"/>
              </w:rPr>
              <w:t>16</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3BC3DE74">
            <w:pPr>
              <w:pStyle w:val="4"/>
              <w:spacing w:after="120"/>
              <w:ind w:firstLine="380"/>
              <w:jc w:val="both"/>
              <w:rPr>
                <w:highlight w:val="none"/>
              </w:rPr>
            </w:pPr>
            <w:r>
              <w:rPr>
                <w:rFonts w:ascii="仿宋_GB2312" w:hAnsi="仿宋_GB2312" w:eastAsia="仿宋_GB2312" w:cs="仿宋_GB2312"/>
                <w:color w:val="000000"/>
                <w:sz w:val="24"/>
                <w:highlight w:val="none"/>
              </w:rPr>
              <w:t>图书馆</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291317A6">
            <w:pPr>
              <w:pStyle w:val="4"/>
              <w:spacing w:after="120"/>
              <w:ind w:firstLine="380"/>
              <w:jc w:val="both"/>
              <w:rPr>
                <w:highlight w:val="none"/>
              </w:rPr>
            </w:pPr>
            <w:r>
              <w:rPr>
                <w:rFonts w:ascii="仿宋_GB2312" w:hAnsi="仿宋_GB2312" w:eastAsia="仿宋_GB2312" w:cs="仿宋_GB2312"/>
                <w:color w:val="000000"/>
                <w:sz w:val="24"/>
                <w:highlight w:val="none"/>
              </w:rPr>
              <w:t>12</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7F3C3F19">
            <w:pPr>
              <w:pStyle w:val="4"/>
              <w:spacing w:after="120"/>
              <w:ind w:firstLine="380"/>
              <w:jc w:val="both"/>
              <w:rPr>
                <w:highlight w:val="none"/>
              </w:rPr>
            </w:pPr>
            <w:r>
              <w:rPr>
                <w:rFonts w:ascii="仿宋_GB2312" w:hAnsi="仿宋_GB2312" w:eastAsia="仿宋_GB2312" w:cs="仿宋_GB2312"/>
                <w:color w:val="000000"/>
                <w:sz w:val="24"/>
                <w:highlight w:val="none"/>
              </w:rPr>
              <w:t>20000</w:t>
            </w:r>
          </w:p>
        </w:tc>
        <w:tc>
          <w:tcPr>
            <w:tcW w:w="4088" w:type="dxa"/>
            <w:gridSpan w:val="4"/>
            <w:tcBorders>
              <w:top w:val="nil"/>
              <w:left w:val="nil"/>
              <w:bottom w:val="single" w:color="000000" w:sz="4" w:space="0"/>
              <w:right w:val="single" w:color="000000" w:sz="4" w:space="0"/>
            </w:tcBorders>
            <w:tcMar>
              <w:top w:w="0" w:type="dxa"/>
              <w:left w:w="90" w:type="dxa"/>
              <w:bottom w:w="0" w:type="dxa"/>
              <w:right w:w="90" w:type="dxa"/>
            </w:tcMar>
            <w:vAlign w:val="top"/>
          </w:tcPr>
          <w:p w14:paraId="1A8426FF">
            <w:pPr>
              <w:pStyle w:val="4"/>
              <w:spacing w:after="120"/>
              <w:ind w:firstLine="380"/>
              <w:jc w:val="both"/>
              <w:rPr>
                <w:highlight w:val="none"/>
              </w:rPr>
            </w:pPr>
          </w:p>
        </w:tc>
      </w:tr>
      <w:tr w14:paraId="3481F18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0232722A">
            <w:pPr>
              <w:pStyle w:val="4"/>
              <w:jc w:val="both"/>
              <w:rPr>
                <w:highlight w:val="none"/>
              </w:rPr>
            </w:pPr>
            <w:r>
              <w:rPr>
                <w:rFonts w:ascii="仿宋_GB2312" w:hAnsi="仿宋_GB2312" w:eastAsia="仿宋_GB2312" w:cs="仿宋_GB2312"/>
                <w:color w:val="000000"/>
                <w:sz w:val="24"/>
                <w:highlight w:val="none"/>
              </w:rPr>
              <w:t>17</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740BFC15">
            <w:pPr>
              <w:pStyle w:val="4"/>
              <w:spacing w:after="120"/>
              <w:ind w:firstLine="380"/>
              <w:jc w:val="both"/>
              <w:rPr>
                <w:highlight w:val="none"/>
              </w:rPr>
            </w:pPr>
            <w:r>
              <w:rPr>
                <w:rFonts w:ascii="仿宋_GB2312" w:hAnsi="仿宋_GB2312" w:eastAsia="仿宋_GB2312" w:cs="仿宋_GB2312"/>
                <w:color w:val="000000"/>
                <w:sz w:val="24"/>
                <w:highlight w:val="none"/>
              </w:rPr>
              <w:t>教工宿舍楼</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218A0924">
            <w:pPr>
              <w:pStyle w:val="4"/>
              <w:spacing w:after="120"/>
              <w:ind w:firstLine="380"/>
              <w:jc w:val="both"/>
              <w:rPr>
                <w:highlight w:val="none"/>
              </w:rPr>
            </w:pPr>
            <w:r>
              <w:rPr>
                <w:rFonts w:ascii="仿宋_GB2312" w:hAnsi="仿宋_GB2312" w:eastAsia="仿宋_GB2312" w:cs="仿宋_GB2312"/>
                <w:color w:val="000000"/>
                <w:sz w:val="24"/>
                <w:highlight w:val="none"/>
              </w:rPr>
              <w:t>7.5</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0EDA4D9C">
            <w:pPr>
              <w:pStyle w:val="4"/>
              <w:spacing w:after="120"/>
              <w:ind w:firstLine="380"/>
              <w:jc w:val="both"/>
              <w:rPr>
                <w:highlight w:val="none"/>
              </w:rPr>
            </w:pPr>
            <w:r>
              <w:rPr>
                <w:rFonts w:ascii="仿宋_GB2312" w:hAnsi="仿宋_GB2312" w:eastAsia="仿宋_GB2312" w:cs="仿宋_GB2312"/>
                <w:color w:val="000000"/>
                <w:sz w:val="24"/>
                <w:highlight w:val="none"/>
              </w:rPr>
              <w:t>2251</w:t>
            </w:r>
          </w:p>
        </w:tc>
        <w:tc>
          <w:tcPr>
            <w:tcW w:w="4088" w:type="dxa"/>
            <w:gridSpan w:val="4"/>
            <w:tcBorders>
              <w:top w:val="nil"/>
              <w:left w:val="nil"/>
              <w:bottom w:val="single" w:color="000000" w:sz="4" w:space="0"/>
              <w:right w:val="single" w:color="000000" w:sz="4" w:space="0"/>
            </w:tcBorders>
            <w:tcMar>
              <w:top w:w="0" w:type="dxa"/>
              <w:left w:w="90" w:type="dxa"/>
              <w:bottom w:w="0" w:type="dxa"/>
              <w:right w:w="90" w:type="dxa"/>
            </w:tcMar>
            <w:vAlign w:val="top"/>
          </w:tcPr>
          <w:p w14:paraId="3AAE27AF">
            <w:pPr>
              <w:pStyle w:val="4"/>
              <w:spacing w:after="120"/>
              <w:ind w:firstLine="380"/>
              <w:jc w:val="both"/>
              <w:rPr>
                <w:highlight w:val="none"/>
              </w:rPr>
            </w:pPr>
            <w:r>
              <w:rPr>
                <w:rFonts w:ascii="仿宋_GB2312" w:hAnsi="仿宋_GB2312" w:eastAsia="仿宋_GB2312" w:cs="仿宋_GB2312"/>
                <w:b/>
                <w:color w:val="000000"/>
                <w:sz w:val="24"/>
                <w:highlight w:val="none"/>
              </w:rPr>
              <w:t>福佑园</w:t>
            </w:r>
          </w:p>
        </w:tc>
      </w:tr>
      <w:tr w14:paraId="6CCBDC1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30BE15EA">
            <w:pPr>
              <w:pStyle w:val="4"/>
              <w:spacing w:after="120"/>
              <w:ind w:firstLine="380"/>
              <w:jc w:val="both"/>
              <w:rPr>
                <w:highlight w:val="none"/>
              </w:rPr>
            </w:pPr>
            <w:r>
              <w:rPr>
                <w:rFonts w:ascii="仿宋_GB2312" w:hAnsi="仿宋_GB2312" w:eastAsia="仿宋_GB2312" w:cs="仿宋_GB2312"/>
                <w:color w:val="000000"/>
                <w:sz w:val="24"/>
                <w:highlight w:val="none"/>
              </w:rPr>
              <w:t>18</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6CBFF544">
            <w:pPr>
              <w:pStyle w:val="4"/>
              <w:spacing w:after="120"/>
              <w:ind w:firstLine="380"/>
              <w:jc w:val="both"/>
              <w:rPr>
                <w:highlight w:val="none"/>
              </w:rPr>
            </w:pPr>
            <w:r>
              <w:rPr>
                <w:rFonts w:ascii="仿宋_GB2312" w:hAnsi="仿宋_GB2312" w:eastAsia="仿宋_GB2312" w:cs="仿宋_GB2312"/>
                <w:color w:val="000000"/>
                <w:sz w:val="24"/>
                <w:highlight w:val="none"/>
              </w:rPr>
              <w:t>教工宿舍楼</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108DA58C">
            <w:pPr>
              <w:pStyle w:val="4"/>
              <w:spacing w:after="120"/>
              <w:ind w:firstLine="380"/>
              <w:jc w:val="both"/>
              <w:rPr>
                <w:highlight w:val="none"/>
              </w:rPr>
            </w:pPr>
            <w:r>
              <w:rPr>
                <w:rFonts w:ascii="仿宋_GB2312" w:hAnsi="仿宋_GB2312" w:eastAsia="仿宋_GB2312" w:cs="仿宋_GB2312"/>
                <w:color w:val="000000"/>
                <w:sz w:val="24"/>
                <w:highlight w:val="none"/>
              </w:rPr>
              <w:t>7.5</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6BA3D6AE">
            <w:pPr>
              <w:pStyle w:val="4"/>
              <w:spacing w:after="120"/>
              <w:ind w:firstLine="380"/>
              <w:jc w:val="both"/>
              <w:rPr>
                <w:highlight w:val="none"/>
              </w:rPr>
            </w:pPr>
            <w:r>
              <w:rPr>
                <w:rFonts w:ascii="仿宋_GB2312" w:hAnsi="仿宋_GB2312" w:eastAsia="仿宋_GB2312" w:cs="仿宋_GB2312"/>
                <w:color w:val="000000"/>
                <w:sz w:val="24"/>
                <w:highlight w:val="none"/>
              </w:rPr>
              <w:t>3938</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1F338925">
            <w:pPr>
              <w:pStyle w:val="4"/>
              <w:spacing w:after="120"/>
              <w:ind w:firstLine="380"/>
              <w:jc w:val="both"/>
              <w:rPr>
                <w:highlight w:val="none"/>
              </w:rPr>
            </w:pPr>
            <w:r>
              <w:rPr>
                <w:rFonts w:ascii="仿宋_GB2312" w:hAnsi="仿宋_GB2312" w:eastAsia="仿宋_GB2312" w:cs="仿宋_GB2312"/>
                <w:color w:val="000000"/>
                <w:sz w:val="24"/>
                <w:highlight w:val="none"/>
              </w:rPr>
              <w:t>1</w:t>
            </w:r>
          </w:p>
        </w:tc>
        <w:tc>
          <w:tcPr>
            <w:tcW w:w="1410"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top"/>
          </w:tcPr>
          <w:p w14:paraId="61D6A9FC">
            <w:pPr>
              <w:pStyle w:val="4"/>
              <w:spacing w:after="120"/>
              <w:ind w:firstLine="380"/>
              <w:jc w:val="both"/>
              <w:rPr>
                <w:highlight w:val="none"/>
              </w:rPr>
            </w:pPr>
            <w:r>
              <w:rPr>
                <w:rFonts w:ascii="仿宋_GB2312" w:hAnsi="仿宋_GB2312" w:eastAsia="仿宋_GB2312" w:cs="仿宋_GB2312"/>
                <w:color w:val="000000"/>
                <w:sz w:val="24"/>
                <w:highlight w:val="none"/>
              </w:rPr>
              <w:t>教学、学生宿舍楼</w:t>
            </w:r>
          </w:p>
        </w:tc>
        <w:tc>
          <w:tcPr>
            <w:tcW w:w="620"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top"/>
          </w:tcPr>
          <w:p w14:paraId="55252528">
            <w:pPr>
              <w:pStyle w:val="4"/>
              <w:spacing w:after="120"/>
              <w:ind w:firstLine="380"/>
              <w:jc w:val="both"/>
              <w:rPr>
                <w:highlight w:val="none"/>
              </w:rPr>
            </w:pPr>
            <w:r>
              <w:rPr>
                <w:rFonts w:ascii="仿宋_GB2312" w:hAnsi="仿宋_GB2312" w:eastAsia="仿宋_GB2312" w:cs="仿宋_GB2312"/>
                <w:color w:val="000000"/>
                <w:sz w:val="24"/>
                <w:highlight w:val="none"/>
              </w:rPr>
              <w:t>3</w:t>
            </w:r>
          </w:p>
        </w:tc>
        <w:tc>
          <w:tcPr>
            <w:tcW w:w="125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top"/>
          </w:tcPr>
          <w:p w14:paraId="0A76B3AD">
            <w:pPr>
              <w:pStyle w:val="4"/>
              <w:spacing w:after="120"/>
              <w:ind w:firstLine="380"/>
              <w:jc w:val="both"/>
              <w:rPr>
                <w:highlight w:val="none"/>
              </w:rPr>
            </w:pPr>
            <w:r>
              <w:rPr>
                <w:rFonts w:ascii="仿宋_GB2312" w:hAnsi="仿宋_GB2312" w:eastAsia="仿宋_GB2312" w:cs="仿宋_GB2312"/>
                <w:color w:val="000000"/>
                <w:sz w:val="24"/>
                <w:highlight w:val="none"/>
              </w:rPr>
              <w:t>1925</w:t>
            </w:r>
          </w:p>
        </w:tc>
      </w:tr>
      <w:tr w14:paraId="6DEB9DB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25A5BC34">
            <w:pPr>
              <w:pStyle w:val="4"/>
              <w:spacing w:after="120"/>
              <w:ind w:firstLine="380"/>
              <w:jc w:val="both"/>
              <w:rPr>
                <w:highlight w:val="none"/>
              </w:rPr>
            </w:pPr>
            <w:r>
              <w:rPr>
                <w:rFonts w:ascii="仿宋_GB2312" w:hAnsi="仿宋_GB2312" w:eastAsia="仿宋_GB2312" w:cs="仿宋_GB2312"/>
                <w:color w:val="000000"/>
                <w:sz w:val="24"/>
                <w:highlight w:val="none"/>
              </w:rPr>
              <w:t>19</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631987CF">
            <w:pPr>
              <w:pStyle w:val="4"/>
              <w:spacing w:after="120"/>
              <w:ind w:firstLine="380"/>
              <w:jc w:val="both"/>
              <w:rPr>
                <w:highlight w:val="none"/>
              </w:rPr>
            </w:pPr>
            <w:r>
              <w:rPr>
                <w:rFonts w:ascii="仿宋_GB2312" w:hAnsi="仿宋_GB2312" w:eastAsia="仿宋_GB2312" w:cs="仿宋_GB2312"/>
                <w:color w:val="000000"/>
                <w:sz w:val="24"/>
                <w:highlight w:val="none"/>
              </w:rPr>
              <w:t>教工宿舍楼</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76C3F045">
            <w:pPr>
              <w:pStyle w:val="4"/>
              <w:spacing w:after="120"/>
              <w:ind w:firstLine="380"/>
              <w:jc w:val="both"/>
              <w:rPr>
                <w:highlight w:val="none"/>
              </w:rPr>
            </w:pPr>
            <w:r>
              <w:rPr>
                <w:rFonts w:ascii="仿宋_GB2312" w:hAnsi="仿宋_GB2312" w:eastAsia="仿宋_GB2312" w:cs="仿宋_GB2312"/>
                <w:color w:val="000000"/>
                <w:sz w:val="24"/>
                <w:highlight w:val="none"/>
              </w:rPr>
              <w:t>7.5</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6D0DBDF4">
            <w:pPr>
              <w:pStyle w:val="4"/>
              <w:spacing w:after="120"/>
              <w:ind w:firstLine="380"/>
              <w:jc w:val="both"/>
              <w:rPr>
                <w:highlight w:val="none"/>
              </w:rPr>
            </w:pPr>
            <w:r>
              <w:rPr>
                <w:rFonts w:ascii="仿宋_GB2312" w:hAnsi="仿宋_GB2312" w:eastAsia="仿宋_GB2312" w:cs="仿宋_GB2312"/>
                <w:color w:val="000000"/>
                <w:sz w:val="24"/>
                <w:highlight w:val="none"/>
              </w:rPr>
              <w:t>2798</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587E5081">
            <w:pPr>
              <w:pStyle w:val="4"/>
              <w:spacing w:after="120"/>
              <w:ind w:firstLine="380"/>
              <w:jc w:val="both"/>
              <w:rPr>
                <w:highlight w:val="none"/>
              </w:rPr>
            </w:pPr>
            <w:r>
              <w:rPr>
                <w:rFonts w:ascii="仿宋_GB2312" w:hAnsi="仿宋_GB2312" w:eastAsia="仿宋_GB2312" w:cs="仿宋_GB2312"/>
                <w:color w:val="000000"/>
                <w:sz w:val="24"/>
                <w:highlight w:val="none"/>
              </w:rPr>
              <w:t>2</w:t>
            </w:r>
          </w:p>
        </w:tc>
        <w:tc>
          <w:tcPr>
            <w:tcW w:w="1410" w:type="dxa"/>
            <w:tcBorders>
              <w:top w:val="nil"/>
              <w:left w:val="nil"/>
              <w:bottom w:val="single" w:color="000000" w:sz="4" w:space="0"/>
              <w:right w:val="single" w:color="000000" w:sz="4" w:space="0"/>
            </w:tcBorders>
            <w:tcMar>
              <w:top w:w="0" w:type="dxa"/>
              <w:left w:w="90" w:type="dxa"/>
              <w:bottom w:w="0" w:type="dxa"/>
              <w:right w:w="90" w:type="dxa"/>
            </w:tcMar>
            <w:vAlign w:val="top"/>
          </w:tcPr>
          <w:p w14:paraId="681187F3">
            <w:pPr>
              <w:pStyle w:val="4"/>
              <w:spacing w:after="120"/>
              <w:ind w:firstLine="380"/>
              <w:jc w:val="both"/>
              <w:rPr>
                <w:highlight w:val="none"/>
              </w:rPr>
            </w:pPr>
            <w:r>
              <w:rPr>
                <w:rFonts w:ascii="仿宋_GB2312" w:hAnsi="仿宋_GB2312" w:eastAsia="仿宋_GB2312" w:cs="仿宋_GB2312"/>
                <w:color w:val="000000"/>
                <w:sz w:val="24"/>
                <w:highlight w:val="none"/>
              </w:rPr>
              <w:t>学生宿舍楼</w:t>
            </w:r>
          </w:p>
        </w:tc>
        <w:tc>
          <w:tcPr>
            <w:tcW w:w="620" w:type="dxa"/>
            <w:tcBorders>
              <w:top w:val="nil"/>
              <w:left w:val="nil"/>
              <w:bottom w:val="single" w:color="000000" w:sz="4" w:space="0"/>
              <w:right w:val="single" w:color="000000" w:sz="4" w:space="0"/>
            </w:tcBorders>
            <w:tcMar>
              <w:top w:w="0" w:type="dxa"/>
              <w:left w:w="90" w:type="dxa"/>
              <w:bottom w:w="0" w:type="dxa"/>
              <w:right w:w="90" w:type="dxa"/>
            </w:tcMar>
            <w:vAlign w:val="top"/>
          </w:tcPr>
          <w:p w14:paraId="20E90AF0">
            <w:pPr>
              <w:pStyle w:val="4"/>
              <w:spacing w:after="120"/>
              <w:ind w:firstLine="380"/>
              <w:jc w:val="both"/>
              <w:rPr>
                <w:highlight w:val="none"/>
              </w:rPr>
            </w:pPr>
            <w:r>
              <w:rPr>
                <w:rFonts w:ascii="仿宋_GB2312" w:hAnsi="仿宋_GB2312" w:eastAsia="仿宋_GB2312" w:cs="仿宋_GB2312"/>
                <w:color w:val="000000"/>
                <w:sz w:val="24"/>
                <w:highlight w:val="none"/>
              </w:rPr>
              <w:t>5</w:t>
            </w:r>
          </w:p>
        </w:tc>
        <w:tc>
          <w:tcPr>
            <w:tcW w:w="1255" w:type="dxa"/>
            <w:tcBorders>
              <w:top w:val="nil"/>
              <w:left w:val="nil"/>
              <w:bottom w:val="single" w:color="000000" w:sz="4" w:space="0"/>
              <w:right w:val="single" w:color="000000" w:sz="4" w:space="0"/>
            </w:tcBorders>
            <w:tcMar>
              <w:top w:w="0" w:type="dxa"/>
              <w:left w:w="90" w:type="dxa"/>
              <w:bottom w:w="0" w:type="dxa"/>
              <w:right w:w="90" w:type="dxa"/>
            </w:tcMar>
            <w:vAlign w:val="top"/>
          </w:tcPr>
          <w:p w14:paraId="7FE993CA">
            <w:pPr>
              <w:pStyle w:val="4"/>
              <w:spacing w:after="120"/>
              <w:ind w:firstLine="380"/>
              <w:jc w:val="both"/>
              <w:rPr>
                <w:highlight w:val="none"/>
              </w:rPr>
            </w:pPr>
            <w:r>
              <w:rPr>
                <w:rFonts w:ascii="仿宋_GB2312" w:hAnsi="仿宋_GB2312" w:eastAsia="仿宋_GB2312" w:cs="仿宋_GB2312"/>
                <w:color w:val="000000"/>
                <w:sz w:val="24"/>
                <w:highlight w:val="none"/>
              </w:rPr>
              <w:t>1240</w:t>
            </w:r>
          </w:p>
        </w:tc>
      </w:tr>
      <w:tr w14:paraId="4386D62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1556697A">
            <w:pPr>
              <w:pStyle w:val="4"/>
              <w:spacing w:after="120"/>
              <w:ind w:firstLine="380"/>
              <w:jc w:val="both"/>
              <w:rPr>
                <w:highlight w:val="none"/>
              </w:rPr>
            </w:pPr>
            <w:r>
              <w:rPr>
                <w:rFonts w:ascii="仿宋_GB2312" w:hAnsi="仿宋_GB2312" w:eastAsia="仿宋_GB2312" w:cs="仿宋_GB2312"/>
                <w:color w:val="000000"/>
                <w:sz w:val="24"/>
                <w:highlight w:val="none"/>
              </w:rPr>
              <w:t>20</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537A193B">
            <w:pPr>
              <w:pStyle w:val="4"/>
              <w:spacing w:after="120"/>
              <w:ind w:firstLine="380"/>
              <w:jc w:val="both"/>
              <w:rPr>
                <w:highlight w:val="none"/>
              </w:rPr>
            </w:pPr>
            <w:r>
              <w:rPr>
                <w:rFonts w:ascii="仿宋_GB2312" w:hAnsi="仿宋_GB2312" w:eastAsia="仿宋_GB2312" w:cs="仿宋_GB2312"/>
                <w:color w:val="000000"/>
                <w:sz w:val="24"/>
                <w:highlight w:val="none"/>
              </w:rPr>
              <w:t>教工宿舍楼</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601E422A">
            <w:pPr>
              <w:pStyle w:val="4"/>
              <w:spacing w:after="120"/>
              <w:ind w:firstLine="380"/>
              <w:jc w:val="both"/>
              <w:rPr>
                <w:highlight w:val="none"/>
              </w:rPr>
            </w:pPr>
            <w:r>
              <w:rPr>
                <w:rFonts w:ascii="仿宋_GB2312" w:hAnsi="仿宋_GB2312" w:eastAsia="仿宋_GB2312" w:cs="仿宋_GB2312"/>
                <w:color w:val="000000"/>
                <w:sz w:val="24"/>
                <w:highlight w:val="none"/>
              </w:rPr>
              <w:t>5</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43C26366">
            <w:pPr>
              <w:pStyle w:val="4"/>
              <w:spacing w:after="120"/>
              <w:ind w:firstLine="380"/>
              <w:jc w:val="both"/>
              <w:rPr>
                <w:highlight w:val="none"/>
              </w:rPr>
            </w:pPr>
            <w:r>
              <w:rPr>
                <w:rFonts w:ascii="仿宋_GB2312" w:hAnsi="仿宋_GB2312" w:eastAsia="仿宋_GB2312" w:cs="仿宋_GB2312"/>
                <w:color w:val="000000"/>
                <w:sz w:val="24"/>
                <w:highlight w:val="none"/>
              </w:rPr>
              <w:t>1038</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00A0427E">
            <w:pPr>
              <w:pStyle w:val="4"/>
              <w:spacing w:after="120"/>
              <w:ind w:firstLine="380"/>
              <w:jc w:val="both"/>
              <w:rPr>
                <w:highlight w:val="none"/>
              </w:rPr>
            </w:pPr>
            <w:r>
              <w:rPr>
                <w:rFonts w:ascii="仿宋_GB2312" w:hAnsi="仿宋_GB2312" w:eastAsia="仿宋_GB2312" w:cs="仿宋_GB2312"/>
                <w:color w:val="000000"/>
                <w:sz w:val="24"/>
                <w:highlight w:val="none"/>
              </w:rPr>
              <w:t>3</w:t>
            </w:r>
          </w:p>
        </w:tc>
        <w:tc>
          <w:tcPr>
            <w:tcW w:w="1410" w:type="dxa"/>
            <w:tcBorders>
              <w:top w:val="nil"/>
              <w:left w:val="nil"/>
              <w:bottom w:val="single" w:color="000000" w:sz="4" w:space="0"/>
              <w:right w:val="single" w:color="000000" w:sz="4" w:space="0"/>
            </w:tcBorders>
            <w:tcMar>
              <w:top w:w="0" w:type="dxa"/>
              <w:left w:w="90" w:type="dxa"/>
              <w:bottom w:w="0" w:type="dxa"/>
              <w:right w:w="90" w:type="dxa"/>
            </w:tcMar>
            <w:vAlign w:val="top"/>
          </w:tcPr>
          <w:p w14:paraId="291A7B89">
            <w:pPr>
              <w:pStyle w:val="4"/>
              <w:spacing w:after="120"/>
              <w:ind w:firstLine="380"/>
              <w:jc w:val="both"/>
              <w:rPr>
                <w:highlight w:val="none"/>
              </w:rPr>
            </w:pPr>
            <w:r>
              <w:rPr>
                <w:rFonts w:ascii="仿宋_GB2312" w:hAnsi="仿宋_GB2312" w:eastAsia="仿宋_GB2312" w:cs="仿宋_GB2312"/>
                <w:color w:val="000000"/>
                <w:sz w:val="24"/>
                <w:highlight w:val="none"/>
              </w:rPr>
              <w:t>教学楼</w:t>
            </w:r>
          </w:p>
        </w:tc>
        <w:tc>
          <w:tcPr>
            <w:tcW w:w="620" w:type="dxa"/>
            <w:tcBorders>
              <w:top w:val="nil"/>
              <w:left w:val="nil"/>
              <w:bottom w:val="single" w:color="000000" w:sz="4" w:space="0"/>
              <w:right w:val="single" w:color="000000" w:sz="4" w:space="0"/>
            </w:tcBorders>
            <w:tcMar>
              <w:top w:w="0" w:type="dxa"/>
              <w:left w:w="90" w:type="dxa"/>
              <w:bottom w:w="0" w:type="dxa"/>
              <w:right w:w="90" w:type="dxa"/>
            </w:tcMar>
            <w:vAlign w:val="top"/>
          </w:tcPr>
          <w:p w14:paraId="20446D78">
            <w:pPr>
              <w:pStyle w:val="4"/>
              <w:spacing w:after="120"/>
              <w:ind w:firstLine="380"/>
              <w:jc w:val="both"/>
              <w:rPr>
                <w:highlight w:val="none"/>
              </w:rPr>
            </w:pPr>
            <w:r>
              <w:rPr>
                <w:rFonts w:ascii="仿宋_GB2312" w:hAnsi="仿宋_GB2312" w:eastAsia="仿宋_GB2312" w:cs="仿宋_GB2312"/>
                <w:color w:val="000000"/>
                <w:sz w:val="24"/>
                <w:highlight w:val="none"/>
              </w:rPr>
              <w:t>5</w:t>
            </w:r>
          </w:p>
        </w:tc>
        <w:tc>
          <w:tcPr>
            <w:tcW w:w="1255" w:type="dxa"/>
            <w:tcBorders>
              <w:top w:val="nil"/>
              <w:left w:val="nil"/>
              <w:bottom w:val="single" w:color="000000" w:sz="4" w:space="0"/>
              <w:right w:val="single" w:color="000000" w:sz="4" w:space="0"/>
            </w:tcBorders>
            <w:tcMar>
              <w:top w:w="0" w:type="dxa"/>
              <w:left w:w="90" w:type="dxa"/>
              <w:bottom w:w="0" w:type="dxa"/>
              <w:right w:w="90" w:type="dxa"/>
            </w:tcMar>
            <w:vAlign w:val="top"/>
          </w:tcPr>
          <w:p w14:paraId="7648568F">
            <w:pPr>
              <w:pStyle w:val="4"/>
              <w:spacing w:after="120"/>
              <w:ind w:firstLine="380"/>
              <w:jc w:val="both"/>
              <w:rPr>
                <w:highlight w:val="none"/>
              </w:rPr>
            </w:pPr>
            <w:r>
              <w:rPr>
                <w:rFonts w:ascii="仿宋_GB2312" w:hAnsi="仿宋_GB2312" w:eastAsia="仿宋_GB2312" w:cs="仿宋_GB2312"/>
                <w:color w:val="000000"/>
                <w:sz w:val="24"/>
                <w:highlight w:val="none"/>
              </w:rPr>
              <w:t>2110</w:t>
            </w:r>
          </w:p>
        </w:tc>
      </w:tr>
      <w:tr w14:paraId="004AD9A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3006E443">
            <w:pPr>
              <w:pStyle w:val="4"/>
              <w:spacing w:after="120"/>
              <w:ind w:firstLine="380"/>
              <w:jc w:val="both"/>
              <w:rPr>
                <w:highlight w:val="none"/>
              </w:rPr>
            </w:pPr>
            <w:r>
              <w:rPr>
                <w:rFonts w:ascii="仿宋_GB2312" w:hAnsi="仿宋_GB2312" w:eastAsia="仿宋_GB2312" w:cs="仿宋_GB2312"/>
                <w:color w:val="000000"/>
                <w:sz w:val="24"/>
                <w:highlight w:val="none"/>
              </w:rPr>
              <w:t>21</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45E562EE">
            <w:pPr>
              <w:pStyle w:val="4"/>
              <w:spacing w:after="120"/>
              <w:ind w:firstLine="380"/>
              <w:jc w:val="both"/>
              <w:rPr>
                <w:highlight w:val="none"/>
              </w:rPr>
            </w:pPr>
            <w:r>
              <w:rPr>
                <w:rFonts w:ascii="仿宋_GB2312" w:hAnsi="仿宋_GB2312" w:eastAsia="仿宋_GB2312" w:cs="仿宋_GB2312"/>
                <w:color w:val="000000"/>
                <w:sz w:val="24"/>
                <w:highlight w:val="none"/>
              </w:rPr>
              <w:t>学生宿舍楼</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06F35401">
            <w:pPr>
              <w:pStyle w:val="4"/>
              <w:spacing w:after="120"/>
              <w:ind w:firstLine="380"/>
              <w:jc w:val="both"/>
              <w:rPr>
                <w:highlight w:val="none"/>
              </w:rPr>
            </w:pPr>
            <w:r>
              <w:rPr>
                <w:rFonts w:ascii="仿宋_GB2312" w:hAnsi="仿宋_GB2312" w:eastAsia="仿宋_GB2312" w:cs="仿宋_GB2312"/>
                <w:color w:val="000000"/>
                <w:sz w:val="24"/>
                <w:highlight w:val="none"/>
              </w:rPr>
              <w:t>5</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201C6401">
            <w:pPr>
              <w:pStyle w:val="4"/>
              <w:spacing w:after="120"/>
              <w:ind w:firstLine="380"/>
              <w:jc w:val="both"/>
              <w:rPr>
                <w:highlight w:val="none"/>
              </w:rPr>
            </w:pPr>
            <w:r>
              <w:rPr>
                <w:rFonts w:ascii="仿宋_GB2312" w:hAnsi="仿宋_GB2312" w:eastAsia="仿宋_GB2312" w:cs="仿宋_GB2312"/>
                <w:color w:val="000000"/>
                <w:sz w:val="24"/>
                <w:highlight w:val="none"/>
              </w:rPr>
              <w:t>2890</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6B587D29">
            <w:pPr>
              <w:pStyle w:val="4"/>
              <w:spacing w:after="120"/>
              <w:ind w:firstLine="380"/>
              <w:jc w:val="both"/>
              <w:rPr>
                <w:highlight w:val="none"/>
              </w:rPr>
            </w:pPr>
            <w:r>
              <w:rPr>
                <w:rFonts w:ascii="仿宋_GB2312" w:hAnsi="仿宋_GB2312" w:eastAsia="仿宋_GB2312" w:cs="仿宋_GB2312"/>
                <w:color w:val="000000"/>
                <w:sz w:val="24"/>
                <w:highlight w:val="none"/>
              </w:rPr>
              <w:t>4</w:t>
            </w:r>
          </w:p>
        </w:tc>
        <w:tc>
          <w:tcPr>
            <w:tcW w:w="1410" w:type="dxa"/>
            <w:tcBorders>
              <w:top w:val="nil"/>
              <w:left w:val="nil"/>
              <w:bottom w:val="single" w:color="000000" w:sz="4" w:space="0"/>
              <w:right w:val="single" w:color="000000" w:sz="4" w:space="0"/>
            </w:tcBorders>
            <w:tcMar>
              <w:top w:w="0" w:type="dxa"/>
              <w:left w:w="90" w:type="dxa"/>
              <w:bottom w:w="0" w:type="dxa"/>
              <w:right w:w="90" w:type="dxa"/>
            </w:tcMar>
            <w:vAlign w:val="top"/>
          </w:tcPr>
          <w:p w14:paraId="3A0CE98F">
            <w:pPr>
              <w:pStyle w:val="4"/>
              <w:spacing w:after="120"/>
              <w:ind w:firstLine="380"/>
              <w:jc w:val="both"/>
              <w:rPr>
                <w:highlight w:val="none"/>
              </w:rPr>
            </w:pPr>
            <w:r>
              <w:rPr>
                <w:rFonts w:ascii="仿宋_GB2312" w:hAnsi="仿宋_GB2312" w:eastAsia="仿宋_GB2312" w:cs="仿宋_GB2312"/>
                <w:color w:val="000000"/>
                <w:sz w:val="24"/>
                <w:highlight w:val="none"/>
              </w:rPr>
              <w:t>学生宿舍楼</w:t>
            </w:r>
          </w:p>
        </w:tc>
        <w:tc>
          <w:tcPr>
            <w:tcW w:w="620" w:type="dxa"/>
            <w:tcBorders>
              <w:top w:val="nil"/>
              <w:left w:val="nil"/>
              <w:bottom w:val="single" w:color="000000" w:sz="4" w:space="0"/>
              <w:right w:val="single" w:color="000000" w:sz="4" w:space="0"/>
            </w:tcBorders>
            <w:tcMar>
              <w:top w:w="0" w:type="dxa"/>
              <w:left w:w="90" w:type="dxa"/>
              <w:bottom w:w="0" w:type="dxa"/>
              <w:right w:w="90" w:type="dxa"/>
            </w:tcMar>
            <w:vAlign w:val="top"/>
          </w:tcPr>
          <w:p w14:paraId="2962CEF5">
            <w:pPr>
              <w:pStyle w:val="4"/>
              <w:spacing w:after="120"/>
              <w:ind w:firstLine="380"/>
              <w:jc w:val="both"/>
              <w:rPr>
                <w:highlight w:val="none"/>
              </w:rPr>
            </w:pPr>
            <w:r>
              <w:rPr>
                <w:rFonts w:ascii="仿宋_GB2312" w:hAnsi="仿宋_GB2312" w:eastAsia="仿宋_GB2312" w:cs="仿宋_GB2312"/>
                <w:color w:val="000000"/>
                <w:sz w:val="24"/>
                <w:highlight w:val="none"/>
              </w:rPr>
              <w:t>3</w:t>
            </w:r>
          </w:p>
        </w:tc>
        <w:tc>
          <w:tcPr>
            <w:tcW w:w="1255" w:type="dxa"/>
            <w:tcBorders>
              <w:top w:val="nil"/>
              <w:left w:val="nil"/>
              <w:bottom w:val="single" w:color="000000" w:sz="4" w:space="0"/>
              <w:right w:val="single" w:color="000000" w:sz="4" w:space="0"/>
            </w:tcBorders>
            <w:tcMar>
              <w:top w:w="0" w:type="dxa"/>
              <w:left w:w="90" w:type="dxa"/>
              <w:bottom w:w="0" w:type="dxa"/>
              <w:right w:w="90" w:type="dxa"/>
            </w:tcMar>
            <w:vAlign w:val="top"/>
          </w:tcPr>
          <w:p w14:paraId="72D481D6">
            <w:pPr>
              <w:pStyle w:val="4"/>
              <w:spacing w:after="120"/>
              <w:ind w:firstLine="380"/>
              <w:jc w:val="both"/>
              <w:rPr>
                <w:highlight w:val="none"/>
              </w:rPr>
            </w:pPr>
            <w:r>
              <w:rPr>
                <w:rFonts w:ascii="仿宋_GB2312" w:hAnsi="仿宋_GB2312" w:eastAsia="仿宋_GB2312" w:cs="仿宋_GB2312"/>
                <w:color w:val="000000"/>
                <w:sz w:val="24"/>
                <w:highlight w:val="none"/>
              </w:rPr>
              <w:t>932</w:t>
            </w:r>
          </w:p>
        </w:tc>
      </w:tr>
      <w:tr w14:paraId="306ECDA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2479FE93">
            <w:pPr>
              <w:pStyle w:val="4"/>
              <w:spacing w:after="120"/>
              <w:ind w:firstLine="380"/>
              <w:jc w:val="both"/>
              <w:rPr>
                <w:highlight w:val="none"/>
              </w:rPr>
            </w:pPr>
            <w:r>
              <w:rPr>
                <w:rFonts w:ascii="仿宋_GB2312" w:hAnsi="仿宋_GB2312" w:eastAsia="仿宋_GB2312" w:cs="仿宋_GB2312"/>
                <w:color w:val="000000"/>
                <w:sz w:val="24"/>
                <w:highlight w:val="none"/>
              </w:rPr>
              <w:t>22</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6792A8B3">
            <w:pPr>
              <w:pStyle w:val="4"/>
              <w:spacing w:after="120"/>
              <w:ind w:firstLine="380"/>
              <w:jc w:val="both"/>
              <w:rPr>
                <w:highlight w:val="none"/>
              </w:rPr>
            </w:pPr>
            <w:r>
              <w:rPr>
                <w:rFonts w:ascii="仿宋_GB2312" w:hAnsi="仿宋_GB2312" w:eastAsia="仿宋_GB2312" w:cs="仿宋_GB2312"/>
                <w:color w:val="000000"/>
                <w:sz w:val="24"/>
                <w:highlight w:val="none"/>
              </w:rPr>
              <w:t>教学、学生宿舍楼</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56678C91">
            <w:pPr>
              <w:pStyle w:val="4"/>
              <w:spacing w:after="120"/>
              <w:ind w:firstLine="380"/>
              <w:jc w:val="both"/>
              <w:rPr>
                <w:highlight w:val="none"/>
              </w:rPr>
            </w:pPr>
            <w:r>
              <w:rPr>
                <w:rFonts w:ascii="仿宋_GB2312" w:hAnsi="仿宋_GB2312" w:eastAsia="仿宋_GB2312" w:cs="仿宋_GB2312"/>
                <w:color w:val="000000"/>
                <w:sz w:val="24"/>
                <w:highlight w:val="none"/>
              </w:rPr>
              <w:t>5</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6BF87F2D">
            <w:pPr>
              <w:pStyle w:val="4"/>
              <w:spacing w:after="120"/>
              <w:ind w:firstLine="380"/>
              <w:jc w:val="both"/>
              <w:rPr>
                <w:highlight w:val="none"/>
              </w:rPr>
            </w:pPr>
            <w:r>
              <w:rPr>
                <w:rFonts w:ascii="仿宋_GB2312" w:hAnsi="仿宋_GB2312" w:eastAsia="仿宋_GB2312" w:cs="仿宋_GB2312"/>
                <w:color w:val="000000"/>
                <w:sz w:val="24"/>
                <w:highlight w:val="none"/>
              </w:rPr>
              <w:t>2667</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6289A46A">
            <w:pPr>
              <w:pStyle w:val="4"/>
              <w:spacing w:after="120"/>
              <w:ind w:firstLine="380"/>
              <w:jc w:val="both"/>
              <w:rPr>
                <w:highlight w:val="none"/>
              </w:rPr>
            </w:pPr>
            <w:r>
              <w:rPr>
                <w:rFonts w:ascii="仿宋_GB2312" w:hAnsi="仿宋_GB2312" w:eastAsia="仿宋_GB2312" w:cs="仿宋_GB2312"/>
                <w:color w:val="000000"/>
                <w:sz w:val="24"/>
                <w:highlight w:val="none"/>
              </w:rPr>
              <w:t>6</w:t>
            </w:r>
          </w:p>
        </w:tc>
        <w:tc>
          <w:tcPr>
            <w:tcW w:w="1410" w:type="dxa"/>
            <w:tcBorders>
              <w:top w:val="nil"/>
              <w:left w:val="nil"/>
              <w:bottom w:val="single" w:color="000000" w:sz="4" w:space="0"/>
              <w:right w:val="single" w:color="000000" w:sz="4" w:space="0"/>
            </w:tcBorders>
            <w:tcMar>
              <w:top w:w="0" w:type="dxa"/>
              <w:left w:w="90" w:type="dxa"/>
              <w:bottom w:w="0" w:type="dxa"/>
              <w:right w:w="90" w:type="dxa"/>
            </w:tcMar>
            <w:vAlign w:val="top"/>
          </w:tcPr>
          <w:p w14:paraId="2FE4A729">
            <w:pPr>
              <w:pStyle w:val="4"/>
              <w:spacing w:after="120"/>
              <w:ind w:firstLine="380"/>
              <w:jc w:val="both"/>
              <w:rPr>
                <w:highlight w:val="none"/>
              </w:rPr>
            </w:pPr>
            <w:r>
              <w:rPr>
                <w:rFonts w:ascii="仿宋_GB2312" w:hAnsi="仿宋_GB2312" w:eastAsia="仿宋_GB2312" w:cs="仿宋_GB2312"/>
                <w:color w:val="000000"/>
                <w:sz w:val="24"/>
                <w:highlight w:val="none"/>
              </w:rPr>
              <w:t>食堂、礼堂</w:t>
            </w:r>
          </w:p>
        </w:tc>
        <w:tc>
          <w:tcPr>
            <w:tcW w:w="620" w:type="dxa"/>
            <w:tcBorders>
              <w:top w:val="nil"/>
              <w:left w:val="nil"/>
              <w:bottom w:val="single" w:color="000000" w:sz="4" w:space="0"/>
              <w:right w:val="single" w:color="000000" w:sz="4" w:space="0"/>
            </w:tcBorders>
            <w:tcMar>
              <w:top w:w="0" w:type="dxa"/>
              <w:left w:w="90" w:type="dxa"/>
              <w:bottom w:w="0" w:type="dxa"/>
              <w:right w:w="90" w:type="dxa"/>
            </w:tcMar>
            <w:vAlign w:val="top"/>
          </w:tcPr>
          <w:p w14:paraId="0D5D548E">
            <w:pPr>
              <w:pStyle w:val="4"/>
              <w:spacing w:after="120"/>
              <w:ind w:firstLine="380"/>
              <w:jc w:val="both"/>
              <w:rPr>
                <w:highlight w:val="none"/>
              </w:rPr>
            </w:pPr>
            <w:r>
              <w:rPr>
                <w:rFonts w:ascii="仿宋_GB2312" w:hAnsi="仿宋_GB2312" w:eastAsia="仿宋_GB2312" w:cs="仿宋_GB2312"/>
                <w:color w:val="000000"/>
                <w:sz w:val="24"/>
                <w:highlight w:val="none"/>
              </w:rPr>
              <w:t>3</w:t>
            </w:r>
          </w:p>
        </w:tc>
        <w:tc>
          <w:tcPr>
            <w:tcW w:w="1255" w:type="dxa"/>
            <w:tcBorders>
              <w:top w:val="nil"/>
              <w:left w:val="nil"/>
              <w:bottom w:val="single" w:color="000000" w:sz="4" w:space="0"/>
              <w:right w:val="single" w:color="000000" w:sz="4" w:space="0"/>
            </w:tcBorders>
            <w:tcMar>
              <w:top w:w="0" w:type="dxa"/>
              <w:left w:w="90" w:type="dxa"/>
              <w:bottom w:w="0" w:type="dxa"/>
              <w:right w:w="90" w:type="dxa"/>
            </w:tcMar>
            <w:vAlign w:val="top"/>
          </w:tcPr>
          <w:p w14:paraId="66BA19A0">
            <w:pPr>
              <w:pStyle w:val="4"/>
              <w:spacing w:after="120"/>
              <w:ind w:firstLine="380"/>
              <w:jc w:val="both"/>
              <w:rPr>
                <w:highlight w:val="none"/>
              </w:rPr>
            </w:pPr>
            <w:r>
              <w:rPr>
                <w:rFonts w:ascii="仿宋_GB2312" w:hAnsi="仿宋_GB2312" w:eastAsia="仿宋_GB2312" w:cs="仿宋_GB2312"/>
                <w:color w:val="000000"/>
                <w:sz w:val="24"/>
                <w:highlight w:val="none"/>
              </w:rPr>
              <w:t>2000</w:t>
            </w:r>
          </w:p>
        </w:tc>
      </w:tr>
      <w:tr w14:paraId="20C2137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54892B2F">
            <w:pPr>
              <w:pStyle w:val="4"/>
              <w:spacing w:after="120"/>
              <w:ind w:firstLine="380"/>
              <w:jc w:val="both"/>
              <w:rPr>
                <w:highlight w:val="none"/>
              </w:rPr>
            </w:pPr>
            <w:r>
              <w:rPr>
                <w:rFonts w:ascii="仿宋_GB2312" w:hAnsi="仿宋_GB2312" w:eastAsia="仿宋_GB2312" w:cs="仿宋_GB2312"/>
                <w:color w:val="000000"/>
                <w:sz w:val="24"/>
                <w:highlight w:val="none"/>
              </w:rPr>
              <w:t>23</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40E2E417">
            <w:pPr>
              <w:pStyle w:val="4"/>
              <w:spacing w:after="120"/>
              <w:ind w:firstLine="380"/>
              <w:jc w:val="both"/>
              <w:rPr>
                <w:highlight w:val="none"/>
              </w:rPr>
            </w:pPr>
            <w:r>
              <w:rPr>
                <w:rFonts w:ascii="仿宋_GB2312" w:hAnsi="仿宋_GB2312" w:eastAsia="仿宋_GB2312" w:cs="仿宋_GB2312"/>
                <w:color w:val="000000"/>
                <w:sz w:val="24"/>
                <w:highlight w:val="none"/>
              </w:rPr>
              <w:t>学生宿舍楼</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487EA12C">
            <w:pPr>
              <w:pStyle w:val="4"/>
              <w:spacing w:after="120"/>
              <w:ind w:firstLine="380"/>
              <w:jc w:val="both"/>
              <w:rPr>
                <w:highlight w:val="none"/>
              </w:rPr>
            </w:pPr>
            <w:r>
              <w:rPr>
                <w:rFonts w:ascii="仿宋_GB2312" w:hAnsi="仿宋_GB2312" w:eastAsia="仿宋_GB2312" w:cs="仿宋_GB2312"/>
                <w:color w:val="000000"/>
                <w:sz w:val="24"/>
                <w:highlight w:val="none"/>
              </w:rPr>
              <w:t>7.5</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4807536C">
            <w:pPr>
              <w:pStyle w:val="4"/>
              <w:spacing w:after="120"/>
              <w:ind w:firstLine="380"/>
              <w:jc w:val="both"/>
              <w:rPr>
                <w:highlight w:val="none"/>
              </w:rPr>
            </w:pPr>
            <w:r>
              <w:rPr>
                <w:rFonts w:ascii="仿宋_GB2312" w:hAnsi="仿宋_GB2312" w:eastAsia="仿宋_GB2312" w:cs="仿宋_GB2312"/>
                <w:color w:val="000000"/>
                <w:sz w:val="24"/>
                <w:highlight w:val="none"/>
              </w:rPr>
              <w:t>2251</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6519EFD8">
            <w:pPr>
              <w:pStyle w:val="4"/>
              <w:spacing w:after="120"/>
              <w:ind w:firstLine="380"/>
              <w:jc w:val="both"/>
              <w:rPr>
                <w:highlight w:val="none"/>
              </w:rPr>
            </w:pPr>
            <w:r>
              <w:rPr>
                <w:rFonts w:ascii="仿宋_GB2312" w:hAnsi="仿宋_GB2312" w:eastAsia="仿宋_GB2312" w:cs="仿宋_GB2312"/>
                <w:color w:val="000000"/>
                <w:sz w:val="24"/>
                <w:highlight w:val="none"/>
              </w:rPr>
              <w:t>8</w:t>
            </w:r>
          </w:p>
        </w:tc>
        <w:tc>
          <w:tcPr>
            <w:tcW w:w="1410" w:type="dxa"/>
            <w:tcBorders>
              <w:top w:val="nil"/>
              <w:left w:val="nil"/>
              <w:bottom w:val="single" w:color="000000" w:sz="4" w:space="0"/>
              <w:right w:val="single" w:color="000000" w:sz="4" w:space="0"/>
            </w:tcBorders>
            <w:tcMar>
              <w:top w:w="0" w:type="dxa"/>
              <w:left w:w="90" w:type="dxa"/>
              <w:bottom w:w="0" w:type="dxa"/>
              <w:right w:w="90" w:type="dxa"/>
            </w:tcMar>
            <w:vAlign w:val="top"/>
          </w:tcPr>
          <w:p w14:paraId="3FFB2449">
            <w:pPr>
              <w:pStyle w:val="4"/>
              <w:spacing w:after="120"/>
              <w:ind w:firstLine="380"/>
              <w:jc w:val="both"/>
              <w:rPr>
                <w:highlight w:val="none"/>
              </w:rPr>
            </w:pPr>
            <w:r>
              <w:rPr>
                <w:rFonts w:ascii="仿宋_GB2312" w:hAnsi="仿宋_GB2312" w:eastAsia="仿宋_GB2312" w:cs="仿宋_GB2312"/>
                <w:color w:val="000000"/>
                <w:sz w:val="24"/>
                <w:highlight w:val="none"/>
              </w:rPr>
              <w:t>学生宿舍楼</w:t>
            </w:r>
          </w:p>
        </w:tc>
        <w:tc>
          <w:tcPr>
            <w:tcW w:w="620" w:type="dxa"/>
            <w:tcBorders>
              <w:top w:val="nil"/>
              <w:left w:val="nil"/>
              <w:bottom w:val="single" w:color="000000" w:sz="4" w:space="0"/>
              <w:right w:val="single" w:color="000000" w:sz="4" w:space="0"/>
            </w:tcBorders>
            <w:tcMar>
              <w:top w:w="0" w:type="dxa"/>
              <w:left w:w="90" w:type="dxa"/>
              <w:bottom w:w="0" w:type="dxa"/>
              <w:right w:w="90" w:type="dxa"/>
            </w:tcMar>
            <w:vAlign w:val="top"/>
          </w:tcPr>
          <w:p w14:paraId="062752FD">
            <w:pPr>
              <w:pStyle w:val="4"/>
              <w:spacing w:after="120"/>
              <w:ind w:firstLine="380"/>
              <w:jc w:val="both"/>
              <w:rPr>
                <w:highlight w:val="none"/>
              </w:rPr>
            </w:pPr>
            <w:r>
              <w:rPr>
                <w:rFonts w:ascii="仿宋_GB2312" w:hAnsi="仿宋_GB2312" w:eastAsia="仿宋_GB2312" w:cs="仿宋_GB2312"/>
                <w:color w:val="000000"/>
                <w:sz w:val="24"/>
                <w:highlight w:val="none"/>
              </w:rPr>
              <w:t>4</w:t>
            </w:r>
          </w:p>
        </w:tc>
        <w:tc>
          <w:tcPr>
            <w:tcW w:w="1255" w:type="dxa"/>
            <w:tcBorders>
              <w:top w:val="nil"/>
              <w:left w:val="nil"/>
              <w:bottom w:val="single" w:color="000000" w:sz="4" w:space="0"/>
              <w:right w:val="single" w:color="000000" w:sz="4" w:space="0"/>
            </w:tcBorders>
            <w:tcMar>
              <w:top w:w="0" w:type="dxa"/>
              <w:left w:w="90" w:type="dxa"/>
              <w:bottom w:w="0" w:type="dxa"/>
              <w:right w:w="90" w:type="dxa"/>
            </w:tcMar>
            <w:vAlign w:val="top"/>
          </w:tcPr>
          <w:p w14:paraId="202A550B">
            <w:pPr>
              <w:pStyle w:val="4"/>
              <w:spacing w:after="120"/>
              <w:ind w:firstLine="380"/>
              <w:jc w:val="both"/>
              <w:rPr>
                <w:highlight w:val="none"/>
              </w:rPr>
            </w:pPr>
            <w:r>
              <w:rPr>
                <w:rFonts w:ascii="仿宋_GB2312" w:hAnsi="仿宋_GB2312" w:eastAsia="仿宋_GB2312" w:cs="仿宋_GB2312"/>
                <w:color w:val="000000"/>
                <w:sz w:val="24"/>
                <w:highlight w:val="none"/>
              </w:rPr>
              <w:t>1953</w:t>
            </w:r>
          </w:p>
        </w:tc>
      </w:tr>
      <w:tr w14:paraId="556FEE5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7F9C573E">
            <w:pPr>
              <w:pStyle w:val="4"/>
              <w:spacing w:after="120"/>
              <w:ind w:firstLine="380"/>
              <w:jc w:val="both"/>
              <w:rPr>
                <w:highlight w:val="none"/>
              </w:rPr>
            </w:pPr>
            <w:r>
              <w:rPr>
                <w:rFonts w:ascii="仿宋_GB2312" w:hAnsi="仿宋_GB2312" w:eastAsia="仿宋_GB2312" w:cs="仿宋_GB2312"/>
                <w:color w:val="000000"/>
                <w:sz w:val="24"/>
                <w:highlight w:val="none"/>
              </w:rPr>
              <w:t>24</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05D3C270">
            <w:pPr>
              <w:pStyle w:val="4"/>
              <w:spacing w:after="120"/>
              <w:ind w:firstLine="380"/>
              <w:jc w:val="both"/>
              <w:rPr>
                <w:highlight w:val="none"/>
              </w:rPr>
            </w:pPr>
            <w:r>
              <w:rPr>
                <w:rFonts w:ascii="仿宋_GB2312" w:hAnsi="仿宋_GB2312" w:eastAsia="仿宋_GB2312" w:cs="仿宋_GB2312"/>
                <w:color w:val="000000"/>
                <w:sz w:val="24"/>
                <w:highlight w:val="none"/>
              </w:rPr>
              <w:t>学生宿舍楼</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46CB161E">
            <w:pPr>
              <w:pStyle w:val="4"/>
              <w:spacing w:after="120"/>
              <w:ind w:firstLine="380"/>
              <w:jc w:val="both"/>
              <w:rPr>
                <w:highlight w:val="none"/>
              </w:rPr>
            </w:pPr>
            <w:r>
              <w:rPr>
                <w:rFonts w:ascii="仿宋_GB2312" w:hAnsi="仿宋_GB2312" w:eastAsia="仿宋_GB2312" w:cs="仿宋_GB2312"/>
                <w:color w:val="000000"/>
                <w:sz w:val="24"/>
                <w:highlight w:val="none"/>
              </w:rPr>
              <w:t>7</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1594D208">
            <w:pPr>
              <w:pStyle w:val="4"/>
              <w:spacing w:after="120"/>
              <w:ind w:firstLine="380"/>
              <w:jc w:val="both"/>
              <w:rPr>
                <w:highlight w:val="none"/>
              </w:rPr>
            </w:pPr>
            <w:r>
              <w:rPr>
                <w:rFonts w:ascii="仿宋_GB2312" w:hAnsi="仿宋_GB2312" w:eastAsia="仿宋_GB2312" w:cs="仿宋_GB2312"/>
                <w:color w:val="000000"/>
                <w:sz w:val="24"/>
                <w:highlight w:val="none"/>
              </w:rPr>
              <w:t>4686</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431D6AAA">
            <w:pPr>
              <w:pStyle w:val="4"/>
              <w:spacing w:after="120"/>
              <w:ind w:firstLine="380"/>
              <w:jc w:val="both"/>
              <w:rPr>
                <w:highlight w:val="none"/>
              </w:rPr>
            </w:pPr>
          </w:p>
        </w:tc>
        <w:tc>
          <w:tcPr>
            <w:tcW w:w="1410" w:type="dxa"/>
            <w:tcBorders>
              <w:top w:val="nil"/>
              <w:left w:val="nil"/>
              <w:bottom w:val="single" w:color="000000" w:sz="4" w:space="0"/>
              <w:right w:val="single" w:color="000000" w:sz="4" w:space="0"/>
            </w:tcBorders>
            <w:tcMar>
              <w:top w:w="0" w:type="dxa"/>
              <w:left w:w="90" w:type="dxa"/>
              <w:bottom w:w="0" w:type="dxa"/>
              <w:right w:w="90" w:type="dxa"/>
            </w:tcMar>
            <w:vAlign w:val="top"/>
          </w:tcPr>
          <w:p w14:paraId="202D0242">
            <w:pPr>
              <w:rPr>
                <w:highlight w:val="none"/>
              </w:rPr>
            </w:pPr>
          </w:p>
        </w:tc>
        <w:tc>
          <w:tcPr>
            <w:tcW w:w="620" w:type="dxa"/>
            <w:tcBorders>
              <w:top w:val="nil"/>
              <w:left w:val="nil"/>
              <w:bottom w:val="single" w:color="000000" w:sz="4" w:space="0"/>
              <w:right w:val="single" w:color="000000" w:sz="4" w:space="0"/>
            </w:tcBorders>
            <w:tcMar>
              <w:top w:w="0" w:type="dxa"/>
              <w:left w:w="90" w:type="dxa"/>
              <w:bottom w:w="0" w:type="dxa"/>
              <w:right w:w="90" w:type="dxa"/>
            </w:tcMar>
            <w:vAlign w:val="top"/>
          </w:tcPr>
          <w:p w14:paraId="3EBE1F67">
            <w:pPr>
              <w:rPr>
                <w:highlight w:val="none"/>
              </w:rPr>
            </w:pPr>
          </w:p>
        </w:tc>
        <w:tc>
          <w:tcPr>
            <w:tcW w:w="1255" w:type="dxa"/>
            <w:tcBorders>
              <w:top w:val="nil"/>
              <w:left w:val="nil"/>
              <w:bottom w:val="single" w:color="000000" w:sz="4" w:space="0"/>
              <w:right w:val="single" w:color="000000" w:sz="4" w:space="0"/>
            </w:tcBorders>
            <w:tcMar>
              <w:top w:w="0" w:type="dxa"/>
              <w:left w:w="90" w:type="dxa"/>
              <w:bottom w:w="0" w:type="dxa"/>
              <w:right w:w="90" w:type="dxa"/>
            </w:tcMar>
            <w:vAlign w:val="top"/>
          </w:tcPr>
          <w:p w14:paraId="6F8899DC">
            <w:pPr>
              <w:rPr>
                <w:highlight w:val="none"/>
              </w:rPr>
            </w:pPr>
          </w:p>
        </w:tc>
      </w:tr>
      <w:tr w14:paraId="679E49A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19CD5E67">
            <w:pPr>
              <w:pStyle w:val="4"/>
              <w:jc w:val="both"/>
              <w:rPr>
                <w:highlight w:val="none"/>
              </w:rPr>
            </w:pPr>
            <w:r>
              <w:rPr>
                <w:rFonts w:ascii="仿宋_GB2312" w:hAnsi="仿宋_GB2312" w:eastAsia="仿宋_GB2312" w:cs="仿宋_GB2312"/>
                <w:color w:val="000000"/>
                <w:sz w:val="24"/>
                <w:highlight w:val="none"/>
              </w:rPr>
              <w:t>25</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5D169535">
            <w:pPr>
              <w:pStyle w:val="4"/>
              <w:spacing w:after="120"/>
              <w:ind w:firstLine="380"/>
              <w:jc w:val="both"/>
              <w:rPr>
                <w:highlight w:val="none"/>
              </w:rPr>
            </w:pPr>
            <w:r>
              <w:rPr>
                <w:rFonts w:ascii="仿宋_GB2312" w:hAnsi="仿宋_GB2312" w:eastAsia="仿宋_GB2312" w:cs="仿宋_GB2312"/>
                <w:color w:val="000000"/>
                <w:sz w:val="24"/>
                <w:highlight w:val="none"/>
              </w:rPr>
              <w:t>学生宿舍楼</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42FA872A">
            <w:pPr>
              <w:pStyle w:val="4"/>
              <w:spacing w:after="120"/>
              <w:ind w:firstLine="380"/>
              <w:jc w:val="both"/>
              <w:rPr>
                <w:highlight w:val="none"/>
              </w:rPr>
            </w:pPr>
            <w:r>
              <w:rPr>
                <w:rFonts w:ascii="仿宋_GB2312" w:hAnsi="仿宋_GB2312" w:eastAsia="仿宋_GB2312" w:cs="仿宋_GB2312"/>
                <w:color w:val="000000"/>
                <w:sz w:val="24"/>
                <w:highlight w:val="none"/>
              </w:rPr>
              <w:t>7</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5A3E066D">
            <w:pPr>
              <w:pStyle w:val="4"/>
              <w:spacing w:after="120"/>
              <w:ind w:firstLine="380"/>
              <w:jc w:val="both"/>
              <w:rPr>
                <w:highlight w:val="none"/>
              </w:rPr>
            </w:pPr>
            <w:r>
              <w:rPr>
                <w:rFonts w:ascii="仿宋_GB2312" w:hAnsi="仿宋_GB2312" w:eastAsia="仿宋_GB2312" w:cs="仿宋_GB2312"/>
                <w:color w:val="000000"/>
                <w:sz w:val="24"/>
                <w:highlight w:val="none"/>
              </w:rPr>
              <w:t>4686</w:t>
            </w:r>
          </w:p>
        </w:tc>
        <w:tc>
          <w:tcPr>
            <w:tcW w:w="4088" w:type="dxa"/>
            <w:gridSpan w:val="4"/>
            <w:tcBorders>
              <w:top w:val="nil"/>
              <w:left w:val="nil"/>
              <w:bottom w:val="single" w:color="000000" w:sz="4" w:space="0"/>
              <w:right w:val="single" w:color="000000" w:sz="4" w:space="0"/>
            </w:tcBorders>
            <w:tcMar>
              <w:top w:w="0" w:type="dxa"/>
              <w:left w:w="90" w:type="dxa"/>
              <w:bottom w:w="0" w:type="dxa"/>
              <w:right w:w="90" w:type="dxa"/>
            </w:tcMar>
            <w:vAlign w:val="top"/>
          </w:tcPr>
          <w:p w14:paraId="26A54077">
            <w:pPr>
              <w:pStyle w:val="4"/>
              <w:spacing w:after="120"/>
              <w:ind w:firstLine="380"/>
              <w:jc w:val="both"/>
              <w:rPr>
                <w:highlight w:val="none"/>
              </w:rPr>
            </w:pPr>
          </w:p>
        </w:tc>
      </w:tr>
      <w:tr w14:paraId="117F2E1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5C487655">
            <w:pPr>
              <w:pStyle w:val="4"/>
              <w:jc w:val="both"/>
              <w:rPr>
                <w:highlight w:val="none"/>
              </w:rPr>
            </w:pPr>
            <w:r>
              <w:rPr>
                <w:rFonts w:ascii="仿宋_GB2312" w:hAnsi="仿宋_GB2312" w:eastAsia="仿宋_GB2312" w:cs="仿宋_GB2312"/>
                <w:color w:val="000000"/>
                <w:sz w:val="24"/>
                <w:highlight w:val="none"/>
              </w:rPr>
              <w:t>26</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7287277A">
            <w:pPr>
              <w:pStyle w:val="4"/>
              <w:spacing w:after="120"/>
              <w:ind w:firstLine="380"/>
              <w:jc w:val="both"/>
              <w:rPr>
                <w:highlight w:val="none"/>
              </w:rPr>
            </w:pPr>
            <w:r>
              <w:rPr>
                <w:rFonts w:ascii="仿宋_GB2312" w:hAnsi="仿宋_GB2312" w:eastAsia="仿宋_GB2312" w:cs="仿宋_GB2312"/>
                <w:color w:val="000000"/>
                <w:sz w:val="24"/>
                <w:highlight w:val="none"/>
              </w:rPr>
              <w:t>办公、实训楼</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54748C44">
            <w:pPr>
              <w:pStyle w:val="4"/>
              <w:spacing w:after="120"/>
              <w:ind w:firstLine="380"/>
              <w:jc w:val="both"/>
              <w:rPr>
                <w:highlight w:val="none"/>
              </w:rPr>
            </w:pPr>
            <w:r>
              <w:rPr>
                <w:rFonts w:ascii="仿宋_GB2312" w:hAnsi="仿宋_GB2312" w:eastAsia="仿宋_GB2312" w:cs="仿宋_GB2312"/>
                <w:color w:val="000000"/>
                <w:sz w:val="24"/>
                <w:highlight w:val="none"/>
              </w:rPr>
              <w:t>6</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3C2CB447">
            <w:pPr>
              <w:pStyle w:val="4"/>
              <w:spacing w:after="120"/>
              <w:ind w:firstLine="380"/>
              <w:jc w:val="both"/>
              <w:rPr>
                <w:highlight w:val="none"/>
              </w:rPr>
            </w:pPr>
            <w:r>
              <w:rPr>
                <w:rFonts w:ascii="仿宋_GB2312" w:hAnsi="仿宋_GB2312" w:eastAsia="仿宋_GB2312" w:cs="仿宋_GB2312"/>
                <w:color w:val="000000"/>
                <w:sz w:val="24"/>
                <w:highlight w:val="none"/>
              </w:rPr>
              <w:t>5059</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6A7D6C1C">
            <w:pPr>
              <w:pStyle w:val="4"/>
              <w:spacing w:after="120"/>
              <w:ind w:firstLine="380"/>
              <w:jc w:val="both"/>
              <w:rPr>
                <w:highlight w:val="none"/>
              </w:rPr>
            </w:pPr>
          </w:p>
        </w:tc>
        <w:tc>
          <w:tcPr>
            <w:tcW w:w="1410" w:type="dxa"/>
            <w:tcBorders>
              <w:top w:val="single" w:color="000000" w:sz="4" w:space="0"/>
              <w:left w:val="nil"/>
              <w:bottom w:val="single" w:color="000000" w:sz="4" w:space="0"/>
              <w:right w:val="single" w:color="000000" w:sz="4" w:space="0"/>
            </w:tcBorders>
            <w:tcMar>
              <w:top w:w="0" w:type="dxa"/>
              <w:left w:w="90" w:type="dxa"/>
              <w:bottom w:w="0" w:type="dxa"/>
              <w:right w:w="90" w:type="dxa"/>
            </w:tcMar>
            <w:vAlign w:val="top"/>
          </w:tcPr>
          <w:p w14:paraId="272F8E5D">
            <w:pPr>
              <w:rPr>
                <w:highlight w:val="none"/>
              </w:rPr>
            </w:pPr>
          </w:p>
        </w:tc>
        <w:tc>
          <w:tcPr>
            <w:tcW w:w="620" w:type="dxa"/>
            <w:tcBorders>
              <w:top w:val="single" w:color="000000" w:sz="4" w:space="0"/>
              <w:left w:val="nil"/>
              <w:bottom w:val="single" w:color="000000" w:sz="4" w:space="0"/>
              <w:right w:val="single" w:color="000000" w:sz="4" w:space="0"/>
            </w:tcBorders>
            <w:tcMar>
              <w:top w:w="0" w:type="dxa"/>
              <w:left w:w="90" w:type="dxa"/>
              <w:bottom w:w="0" w:type="dxa"/>
              <w:right w:w="90" w:type="dxa"/>
            </w:tcMar>
            <w:vAlign w:val="top"/>
          </w:tcPr>
          <w:p w14:paraId="03C0E562">
            <w:pPr>
              <w:rPr>
                <w:highlight w:val="none"/>
              </w:rPr>
            </w:pPr>
          </w:p>
        </w:tc>
        <w:tc>
          <w:tcPr>
            <w:tcW w:w="1255" w:type="dxa"/>
            <w:tcBorders>
              <w:top w:val="single" w:color="000000" w:sz="4" w:space="0"/>
              <w:left w:val="nil"/>
              <w:bottom w:val="single" w:color="000000" w:sz="4" w:space="0"/>
              <w:right w:val="single" w:color="000000" w:sz="4" w:space="0"/>
            </w:tcBorders>
            <w:tcMar>
              <w:top w:w="0" w:type="dxa"/>
              <w:left w:w="90" w:type="dxa"/>
              <w:bottom w:w="0" w:type="dxa"/>
              <w:right w:w="90" w:type="dxa"/>
            </w:tcMar>
            <w:vAlign w:val="top"/>
          </w:tcPr>
          <w:p w14:paraId="26EAC2EF">
            <w:pPr>
              <w:rPr>
                <w:highlight w:val="none"/>
              </w:rPr>
            </w:pPr>
          </w:p>
        </w:tc>
      </w:tr>
      <w:tr w14:paraId="2503225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05EA612A">
            <w:pPr>
              <w:pStyle w:val="4"/>
              <w:jc w:val="both"/>
              <w:rPr>
                <w:highlight w:val="none"/>
              </w:rPr>
            </w:pPr>
            <w:r>
              <w:rPr>
                <w:rFonts w:ascii="仿宋_GB2312" w:hAnsi="仿宋_GB2312" w:eastAsia="仿宋_GB2312" w:cs="仿宋_GB2312"/>
                <w:color w:val="000000"/>
                <w:sz w:val="24"/>
                <w:highlight w:val="none"/>
              </w:rPr>
              <w:t>-</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4AC52160">
            <w:pPr>
              <w:pStyle w:val="4"/>
              <w:spacing w:after="120"/>
              <w:ind w:firstLine="380"/>
              <w:jc w:val="both"/>
              <w:rPr>
                <w:highlight w:val="none"/>
              </w:rPr>
            </w:pPr>
            <w:r>
              <w:rPr>
                <w:rFonts w:ascii="仿宋_GB2312" w:hAnsi="仿宋_GB2312" w:eastAsia="仿宋_GB2312" w:cs="仿宋_GB2312"/>
                <w:color w:val="000000"/>
                <w:sz w:val="24"/>
                <w:highlight w:val="none"/>
              </w:rPr>
              <w:t>7座钢构实训车间</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49EB2A61">
            <w:pPr>
              <w:pStyle w:val="4"/>
              <w:ind w:firstLine="380"/>
              <w:jc w:val="both"/>
              <w:rPr>
                <w:highlight w:val="none"/>
              </w:rPr>
            </w:pPr>
            <w:r>
              <w:rPr>
                <w:rFonts w:ascii="仿宋_GB2312" w:hAnsi="仿宋_GB2312" w:eastAsia="仿宋_GB2312" w:cs="仿宋_GB2312"/>
                <w:color w:val="000000"/>
                <w:sz w:val="24"/>
                <w:highlight w:val="none"/>
              </w:rPr>
              <w:t>1</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40E2939E">
            <w:pPr>
              <w:pStyle w:val="4"/>
              <w:spacing w:after="120"/>
              <w:ind w:firstLine="380"/>
              <w:jc w:val="both"/>
              <w:rPr>
                <w:highlight w:val="none"/>
              </w:rPr>
            </w:pPr>
            <w:r>
              <w:rPr>
                <w:rFonts w:ascii="仿宋_GB2312" w:hAnsi="仿宋_GB2312" w:eastAsia="仿宋_GB2312" w:cs="仿宋_GB2312"/>
                <w:color w:val="000000"/>
                <w:sz w:val="24"/>
                <w:highlight w:val="none"/>
              </w:rPr>
              <w:t>6100</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190D32DD">
            <w:pPr>
              <w:pStyle w:val="4"/>
              <w:spacing w:after="120"/>
              <w:ind w:firstLine="380"/>
              <w:jc w:val="both"/>
              <w:rPr>
                <w:highlight w:val="none"/>
              </w:rPr>
            </w:pPr>
          </w:p>
        </w:tc>
        <w:tc>
          <w:tcPr>
            <w:tcW w:w="1410" w:type="dxa"/>
            <w:tcBorders>
              <w:top w:val="nil"/>
              <w:left w:val="nil"/>
              <w:bottom w:val="single" w:color="000000" w:sz="4" w:space="0"/>
              <w:right w:val="single" w:color="000000" w:sz="4" w:space="0"/>
            </w:tcBorders>
            <w:tcMar>
              <w:top w:w="0" w:type="dxa"/>
              <w:left w:w="90" w:type="dxa"/>
              <w:bottom w:w="0" w:type="dxa"/>
              <w:right w:w="90" w:type="dxa"/>
            </w:tcMar>
            <w:vAlign w:val="top"/>
          </w:tcPr>
          <w:p w14:paraId="1FEA54BC">
            <w:pPr>
              <w:rPr>
                <w:highlight w:val="none"/>
              </w:rPr>
            </w:pPr>
          </w:p>
        </w:tc>
        <w:tc>
          <w:tcPr>
            <w:tcW w:w="620" w:type="dxa"/>
            <w:tcBorders>
              <w:top w:val="nil"/>
              <w:left w:val="nil"/>
              <w:bottom w:val="single" w:color="000000" w:sz="4" w:space="0"/>
              <w:right w:val="single" w:color="000000" w:sz="4" w:space="0"/>
            </w:tcBorders>
            <w:tcMar>
              <w:top w:w="0" w:type="dxa"/>
              <w:left w:w="90" w:type="dxa"/>
              <w:bottom w:w="0" w:type="dxa"/>
              <w:right w:w="90" w:type="dxa"/>
            </w:tcMar>
            <w:vAlign w:val="top"/>
          </w:tcPr>
          <w:p w14:paraId="139223BF">
            <w:pPr>
              <w:rPr>
                <w:highlight w:val="none"/>
              </w:rPr>
            </w:pPr>
          </w:p>
        </w:tc>
        <w:tc>
          <w:tcPr>
            <w:tcW w:w="1255" w:type="dxa"/>
            <w:tcBorders>
              <w:top w:val="nil"/>
              <w:left w:val="nil"/>
              <w:bottom w:val="single" w:color="000000" w:sz="4" w:space="0"/>
              <w:right w:val="single" w:color="000000" w:sz="4" w:space="0"/>
            </w:tcBorders>
            <w:tcMar>
              <w:top w:w="0" w:type="dxa"/>
              <w:left w:w="90" w:type="dxa"/>
              <w:bottom w:w="0" w:type="dxa"/>
              <w:right w:w="90" w:type="dxa"/>
            </w:tcMar>
            <w:vAlign w:val="top"/>
          </w:tcPr>
          <w:p w14:paraId="75F4AB1E">
            <w:pPr>
              <w:rPr>
                <w:highlight w:val="none"/>
              </w:rPr>
            </w:pPr>
          </w:p>
        </w:tc>
      </w:tr>
      <w:tr w14:paraId="40C062B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246" w:type="dxa"/>
            <w:gridSpan w:val="8"/>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66944FE1">
            <w:pPr>
              <w:pStyle w:val="4"/>
              <w:jc w:val="both"/>
              <w:rPr>
                <w:highlight w:val="none"/>
              </w:rPr>
            </w:pPr>
            <w:r>
              <w:rPr>
                <w:rFonts w:ascii="仿宋_GB2312" w:hAnsi="仿宋_GB2312" w:eastAsia="仿宋_GB2312" w:cs="仿宋_GB2312"/>
                <w:b/>
                <w:color w:val="000000"/>
                <w:sz w:val="24"/>
                <w:highlight w:val="none"/>
              </w:rPr>
              <w:t>福航园</w:t>
            </w:r>
          </w:p>
        </w:tc>
      </w:tr>
      <w:tr w14:paraId="2AE403F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774144D5">
            <w:pPr>
              <w:pStyle w:val="4"/>
              <w:spacing w:after="120"/>
              <w:ind w:firstLine="380"/>
              <w:jc w:val="both"/>
              <w:rPr>
                <w:highlight w:val="none"/>
              </w:rPr>
            </w:pPr>
            <w:r>
              <w:rPr>
                <w:rFonts w:ascii="仿宋_GB2312" w:hAnsi="仿宋_GB2312" w:eastAsia="仿宋_GB2312" w:cs="仿宋_GB2312"/>
                <w:color w:val="000000"/>
                <w:sz w:val="24"/>
                <w:highlight w:val="none"/>
              </w:rPr>
              <w:t>1</w:t>
            </w:r>
          </w:p>
        </w:tc>
        <w:tc>
          <w:tcPr>
            <w:tcW w:w="1339" w:type="dxa"/>
            <w:vMerge w:val="restart"/>
            <w:tcBorders>
              <w:top w:val="single" w:color="000000" w:sz="4" w:space="0"/>
              <w:left w:val="nil"/>
              <w:bottom w:val="single" w:color="000000" w:sz="4" w:space="0"/>
              <w:right w:val="single" w:color="000000" w:sz="4" w:space="0"/>
            </w:tcBorders>
            <w:tcMar>
              <w:top w:w="0" w:type="dxa"/>
              <w:left w:w="90" w:type="dxa"/>
              <w:bottom w:w="0" w:type="dxa"/>
              <w:right w:w="90" w:type="dxa"/>
            </w:tcMar>
            <w:vAlign w:val="top"/>
          </w:tcPr>
          <w:p w14:paraId="0A4ADA5F">
            <w:pPr>
              <w:pStyle w:val="4"/>
              <w:spacing w:after="120"/>
              <w:ind w:firstLine="380"/>
              <w:jc w:val="both"/>
              <w:rPr>
                <w:highlight w:val="none"/>
              </w:rPr>
            </w:pPr>
            <w:r>
              <w:rPr>
                <w:rFonts w:ascii="仿宋_GB2312" w:hAnsi="仿宋_GB2312" w:eastAsia="仿宋_GB2312" w:cs="仿宋_GB2312"/>
                <w:color w:val="000000"/>
                <w:sz w:val="24"/>
                <w:highlight w:val="none"/>
              </w:rPr>
              <w:t>学生宿舍楼</w:t>
            </w:r>
          </w:p>
        </w:tc>
        <w:tc>
          <w:tcPr>
            <w:tcW w:w="634" w:type="dxa"/>
            <w:tcBorders>
              <w:top w:val="single" w:color="000000" w:sz="4" w:space="0"/>
              <w:left w:val="nil"/>
              <w:bottom w:val="single" w:color="000000" w:sz="4" w:space="0"/>
              <w:right w:val="single" w:color="000000" w:sz="4" w:space="0"/>
            </w:tcBorders>
            <w:tcMar>
              <w:top w:w="0" w:type="dxa"/>
              <w:left w:w="90" w:type="dxa"/>
              <w:bottom w:w="0" w:type="dxa"/>
              <w:right w:w="90" w:type="dxa"/>
            </w:tcMar>
            <w:vAlign w:val="top"/>
          </w:tcPr>
          <w:p w14:paraId="38E286D9">
            <w:pPr>
              <w:pStyle w:val="4"/>
              <w:spacing w:after="120"/>
              <w:ind w:firstLine="380"/>
              <w:jc w:val="both"/>
              <w:rPr>
                <w:highlight w:val="none"/>
              </w:rPr>
            </w:pPr>
            <w:r>
              <w:rPr>
                <w:rFonts w:ascii="仿宋_GB2312" w:hAnsi="仿宋_GB2312" w:eastAsia="仿宋_GB2312" w:cs="仿宋_GB2312"/>
                <w:color w:val="000000"/>
                <w:sz w:val="24"/>
                <w:highlight w:val="none"/>
              </w:rPr>
              <w:t>5</w:t>
            </w:r>
          </w:p>
        </w:tc>
        <w:tc>
          <w:tcPr>
            <w:tcW w:w="1128" w:type="dxa"/>
            <w:tcBorders>
              <w:top w:val="single" w:color="000000" w:sz="4" w:space="0"/>
              <w:left w:val="nil"/>
              <w:bottom w:val="single" w:color="000000" w:sz="4" w:space="0"/>
              <w:right w:val="single" w:color="000000" w:sz="4" w:space="0"/>
            </w:tcBorders>
            <w:tcMar>
              <w:top w:w="0" w:type="dxa"/>
              <w:left w:w="90" w:type="dxa"/>
              <w:bottom w:w="0" w:type="dxa"/>
              <w:right w:w="90" w:type="dxa"/>
            </w:tcMar>
            <w:vAlign w:val="top"/>
          </w:tcPr>
          <w:p w14:paraId="1E2A12D3">
            <w:pPr>
              <w:pStyle w:val="4"/>
              <w:spacing w:after="120"/>
              <w:ind w:firstLine="380"/>
              <w:jc w:val="both"/>
              <w:rPr>
                <w:highlight w:val="none"/>
              </w:rPr>
            </w:pPr>
            <w:r>
              <w:rPr>
                <w:rFonts w:ascii="仿宋_GB2312" w:hAnsi="仿宋_GB2312" w:eastAsia="仿宋_GB2312" w:cs="仿宋_GB2312"/>
                <w:color w:val="000000"/>
                <w:sz w:val="24"/>
                <w:highlight w:val="none"/>
              </w:rPr>
              <w:t>1981</w:t>
            </w:r>
          </w:p>
        </w:tc>
        <w:tc>
          <w:tcPr>
            <w:tcW w:w="803" w:type="dxa"/>
            <w:tcBorders>
              <w:top w:val="single" w:color="000000" w:sz="4" w:space="0"/>
              <w:left w:val="nil"/>
              <w:bottom w:val="single" w:color="000000" w:sz="4" w:space="0"/>
              <w:right w:val="single" w:color="000000" w:sz="4" w:space="0"/>
            </w:tcBorders>
            <w:tcMar>
              <w:top w:w="0" w:type="dxa"/>
              <w:left w:w="90" w:type="dxa"/>
              <w:bottom w:w="0" w:type="dxa"/>
              <w:right w:w="90" w:type="dxa"/>
            </w:tcMar>
            <w:vAlign w:val="top"/>
          </w:tcPr>
          <w:p w14:paraId="59861831">
            <w:pPr>
              <w:pStyle w:val="4"/>
              <w:spacing w:after="120"/>
              <w:ind w:firstLine="380"/>
              <w:jc w:val="both"/>
              <w:rPr>
                <w:highlight w:val="none"/>
              </w:rPr>
            </w:pPr>
            <w:r>
              <w:rPr>
                <w:rFonts w:ascii="仿宋_GB2312" w:hAnsi="仿宋_GB2312" w:eastAsia="仿宋_GB2312" w:cs="仿宋_GB2312"/>
                <w:color w:val="000000"/>
                <w:sz w:val="24"/>
                <w:highlight w:val="none"/>
              </w:rPr>
              <w:t>12</w:t>
            </w:r>
          </w:p>
        </w:tc>
        <w:tc>
          <w:tcPr>
            <w:tcW w:w="1410" w:type="dxa"/>
            <w:tcBorders>
              <w:top w:val="single" w:color="000000" w:sz="4" w:space="0"/>
              <w:left w:val="nil"/>
              <w:bottom w:val="single" w:color="000000" w:sz="4" w:space="0"/>
              <w:right w:val="single" w:color="000000" w:sz="4" w:space="0"/>
            </w:tcBorders>
            <w:tcMar>
              <w:top w:w="0" w:type="dxa"/>
              <w:left w:w="90" w:type="dxa"/>
              <w:bottom w:w="0" w:type="dxa"/>
              <w:right w:w="90" w:type="dxa"/>
            </w:tcMar>
            <w:vAlign w:val="top"/>
          </w:tcPr>
          <w:p w14:paraId="01BF788C">
            <w:pPr>
              <w:pStyle w:val="4"/>
              <w:spacing w:after="120"/>
              <w:ind w:firstLine="380"/>
              <w:jc w:val="both"/>
              <w:rPr>
                <w:highlight w:val="none"/>
              </w:rPr>
            </w:pPr>
            <w:r>
              <w:rPr>
                <w:rFonts w:ascii="仿宋_GB2312" w:hAnsi="仿宋_GB2312" w:eastAsia="仿宋_GB2312" w:cs="仿宋_GB2312"/>
                <w:color w:val="000000"/>
                <w:sz w:val="24"/>
                <w:highlight w:val="none"/>
              </w:rPr>
              <w:t>职工之家</w:t>
            </w:r>
          </w:p>
        </w:tc>
        <w:tc>
          <w:tcPr>
            <w:tcW w:w="620" w:type="dxa"/>
            <w:tcBorders>
              <w:top w:val="single" w:color="000000" w:sz="4" w:space="0"/>
              <w:left w:val="nil"/>
              <w:bottom w:val="single" w:color="000000" w:sz="4" w:space="0"/>
              <w:right w:val="single" w:color="000000" w:sz="4" w:space="0"/>
            </w:tcBorders>
            <w:tcMar>
              <w:top w:w="0" w:type="dxa"/>
              <w:left w:w="90" w:type="dxa"/>
              <w:bottom w:w="0" w:type="dxa"/>
              <w:right w:w="90" w:type="dxa"/>
            </w:tcMar>
            <w:vAlign w:val="top"/>
          </w:tcPr>
          <w:p w14:paraId="6637E896">
            <w:pPr>
              <w:pStyle w:val="4"/>
              <w:spacing w:after="120"/>
              <w:ind w:firstLine="380"/>
              <w:jc w:val="both"/>
              <w:rPr>
                <w:highlight w:val="none"/>
              </w:rPr>
            </w:pPr>
            <w:r>
              <w:rPr>
                <w:rFonts w:ascii="仿宋_GB2312" w:hAnsi="仿宋_GB2312" w:eastAsia="仿宋_GB2312" w:cs="仿宋_GB2312"/>
                <w:color w:val="000000"/>
                <w:sz w:val="24"/>
                <w:highlight w:val="none"/>
              </w:rPr>
              <w:t>2</w:t>
            </w:r>
          </w:p>
        </w:tc>
        <w:tc>
          <w:tcPr>
            <w:tcW w:w="1255" w:type="dxa"/>
            <w:tcBorders>
              <w:top w:val="single" w:color="000000" w:sz="4" w:space="0"/>
              <w:left w:val="nil"/>
              <w:bottom w:val="single" w:color="000000" w:sz="4" w:space="0"/>
              <w:right w:val="single" w:color="000000" w:sz="4" w:space="0"/>
            </w:tcBorders>
            <w:tcMar>
              <w:top w:w="0" w:type="dxa"/>
              <w:left w:w="90" w:type="dxa"/>
              <w:bottom w:w="0" w:type="dxa"/>
              <w:right w:w="90" w:type="dxa"/>
            </w:tcMar>
            <w:vAlign w:val="top"/>
          </w:tcPr>
          <w:p w14:paraId="129CF8D0">
            <w:pPr>
              <w:pStyle w:val="4"/>
              <w:spacing w:after="120"/>
              <w:ind w:firstLine="380"/>
              <w:jc w:val="both"/>
              <w:rPr>
                <w:highlight w:val="none"/>
              </w:rPr>
            </w:pPr>
            <w:r>
              <w:rPr>
                <w:rFonts w:ascii="仿宋_GB2312" w:hAnsi="仿宋_GB2312" w:eastAsia="仿宋_GB2312" w:cs="仿宋_GB2312"/>
                <w:color w:val="000000"/>
                <w:sz w:val="24"/>
                <w:highlight w:val="none"/>
              </w:rPr>
              <w:t>448</w:t>
            </w:r>
          </w:p>
        </w:tc>
      </w:tr>
      <w:tr w14:paraId="3443C85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09F31B45">
            <w:pPr>
              <w:pStyle w:val="4"/>
              <w:spacing w:after="120"/>
              <w:ind w:firstLine="380"/>
              <w:jc w:val="both"/>
              <w:rPr>
                <w:highlight w:val="none"/>
              </w:rPr>
            </w:pPr>
            <w:r>
              <w:rPr>
                <w:rFonts w:ascii="仿宋_GB2312" w:hAnsi="仿宋_GB2312" w:eastAsia="仿宋_GB2312" w:cs="仿宋_GB2312"/>
                <w:color w:val="000000"/>
                <w:sz w:val="24"/>
                <w:highlight w:val="none"/>
              </w:rPr>
              <w:t>1（西大厅）</w:t>
            </w:r>
          </w:p>
        </w:tc>
        <w:tc>
          <w:tcPr>
            <w:tcW w:w="1339" w:type="dxa"/>
            <w:vMerge w:val="continue"/>
            <w:tcBorders>
              <w:top w:val="single" w:color="000000" w:sz="4" w:space="0"/>
              <w:left w:val="nil"/>
              <w:bottom w:val="single" w:color="000000" w:sz="4" w:space="0"/>
              <w:right w:val="single" w:color="000000" w:sz="4" w:space="0"/>
            </w:tcBorders>
          </w:tcPr>
          <w:p w14:paraId="6DD1E869">
            <w:pPr>
              <w:rPr>
                <w:highlight w:val="none"/>
              </w:rPr>
            </w:pP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02A47151">
            <w:pPr>
              <w:pStyle w:val="4"/>
              <w:spacing w:after="120"/>
              <w:ind w:firstLine="380"/>
              <w:jc w:val="both"/>
              <w:rPr>
                <w:highlight w:val="none"/>
              </w:rPr>
            </w:pPr>
            <w:r>
              <w:rPr>
                <w:rFonts w:ascii="仿宋_GB2312" w:hAnsi="仿宋_GB2312" w:eastAsia="仿宋_GB2312" w:cs="仿宋_GB2312"/>
                <w:color w:val="000000"/>
                <w:sz w:val="24"/>
                <w:highlight w:val="none"/>
              </w:rPr>
              <w:t>1</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59B2F089">
            <w:pPr>
              <w:pStyle w:val="4"/>
              <w:spacing w:after="120"/>
              <w:ind w:firstLine="380"/>
              <w:jc w:val="both"/>
              <w:rPr>
                <w:highlight w:val="none"/>
              </w:rPr>
            </w:pPr>
            <w:r>
              <w:rPr>
                <w:rFonts w:ascii="仿宋_GB2312" w:hAnsi="仿宋_GB2312" w:eastAsia="仿宋_GB2312" w:cs="仿宋_GB2312"/>
                <w:color w:val="000000"/>
                <w:sz w:val="24"/>
                <w:highlight w:val="none"/>
              </w:rPr>
              <w:t>195</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1A4338DA">
            <w:pPr>
              <w:pStyle w:val="4"/>
              <w:spacing w:after="120"/>
              <w:ind w:firstLine="380"/>
              <w:jc w:val="both"/>
              <w:rPr>
                <w:highlight w:val="none"/>
              </w:rPr>
            </w:pPr>
            <w:r>
              <w:rPr>
                <w:rFonts w:ascii="仿宋_GB2312" w:hAnsi="仿宋_GB2312" w:eastAsia="仿宋_GB2312" w:cs="仿宋_GB2312"/>
                <w:color w:val="000000"/>
                <w:sz w:val="24"/>
                <w:highlight w:val="none"/>
              </w:rPr>
              <w:t>14</w:t>
            </w:r>
          </w:p>
        </w:tc>
        <w:tc>
          <w:tcPr>
            <w:tcW w:w="1410" w:type="dxa"/>
            <w:tcBorders>
              <w:top w:val="nil"/>
              <w:left w:val="nil"/>
              <w:bottom w:val="single" w:color="000000" w:sz="4" w:space="0"/>
              <w:right w:val="single" w:color="000000" w:sz="4" w:space="0"/>
            </w:tcBorders>
            <w:tcMar>
              <w:top w:w="0" w:type="dxa"/>
              <w:left w:w="90" w:type="dxa"/>
              <w:bottom w:w="0" w:type="dxa"/>
              <w:right w:w="90" w:type="dxa"/>
            </w:tcMar>
            <w:vAlign w:val="top"/>
          </w:tcPr>
          <w:p w14:paraId="4EE38441">
            <w:pPr>
              <w:pStyle w:val="4"/>
              <w:spacing w:after="120"/>
              <w:ind w:firstLine="380"/>
              <w:jc w:val="both"/>
              <w:rPr>
                <w:highlight w:val="none"/>
              </w:rPr>
            </w:pPr>
            <w:r>
              <w:rPr>
                <w:rFonts w:ascii="仿宋_GB2312" w:hAnsi="仿宋_GB2312" w:eastAsia="仿宋_GB2312" w:cs="仿宋_GB2312"/>
                <w:color w:val="000000"/>
                <w:sz w:val="24"/>
                <w:highlight w:val="none"/>
              </w:rPr>
              <w:t>学生宿舍楼</w:t>
            </w:r>
          </w:p>
        </w:tc>
        <w:tc>
          <w:tcPr>
            <w:tcW w:w="620" w:type="dxa"/>
            <w:tcBorders>
              <w:top w:val="nil"/>
              <w:left w:val="nil"/>
              <w:bottom w:val="single" w:color="000000" w:sz="4" w:space="0"/>
              <w:right w:val="single" w:color="000000" w:sz="4" w:space="0"/>
            </w:tcBorders>
            <w:tcMar>
              <w:top w:w="0" w:type="dxa"/>
              <w:left w:w="90" w:type="dxa"/>
              <w:bottom w:w="0" w:type="dxa"/>
              <w:right w:w="90" w:type="dxa"/>
            </w:tcMar>
            <w:vAlign w:val="top"/>
          </w:tcPr>
          <w:p w14:paraId="6E38B7BE">
            <w:pPr>
              <w:pStyle w:val="4"/>
              <w:spacing w:after="120"/>
              <w:ind w:firstLine="380"/>
              <w:jc w:val="both"/>
              <w:rPr>
                <w:highlight w:val="none"/>
              </w:rPr>
            </w:pPr>
            <w:r>
              <w:rPr>
                <w:rFonts w:ascii="仿宋_GB2312" w:hAnsi="仿宋_GB2312" w:eastAsia="仿宋_GB2312" w:cs="仿宋_GB2312"/>
                <w:color w:val="000000"/>
                <w:sz w:val="24"/>
                <w:highlight w:val="none"/>
              </w:rPr>
              <w:t>5</w:t>
            </w:r>
          </w:p>
        </w:tc>
        <w:tc>
          <w:tcPr>
            <w:tcW w:w="1255" w:type="dxa"/>
            <w:tcBorders>
              <w:top w:val="nil"/>
              <w:left w:val="nil"/>
              <w:bottom w:val="single" w:color="000000" w:sz="4" w:space="0"/>
              <w:right w:val="single" w:color="000000" w:sz="4" w:space="0"/>
            </w:tcBorders>
            <w:tcMar>
              <w:top w:w="0" w:type="dxa"/>
              <w:left w:w="90" w:type="dxa"/>
              <w:bottom w:w="0" w:type="dxa"/>
              <w:right w:w="90" w:type="dxa"/>
            </w:tcMar>
            <w:vAlign w:val="top"/>
          </w:tcPr>
          <w:p w14:paraId="44D5D276">
            <w:pPr>
              <w:pStyle w:val="4"/>
              <w:spacing w:after="120"/>
              <w:ind w:firstLine="380"/>
              <w:jc w:val="both"/>
              <w:rPr>
                <w:highlight w:val="none"/>
              </w:rPr>
            </w:pPr>
            <w:r>
              <w:rPr>
                <w:rFonts w:ascii="仿宋_GB2312" w:hAnsi="仿宋_GB2312" w:eastAsia="仿宋_GB2312" w:cs="仿宋_GB2312"/>
                <w:color w:val="000000"/>
                <w:sz w:val="24"/>
                <w:highlight w:val="none"/>
              </w:rPr>
              <w:t>1697</w:t>
            </w:r>
          </w:p>
        </w:tc>
      </w:tr>
      <w:tr w14:paraId="7694921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42E5CF1E">
            <w:pPr>
              <w:pStyle w:val="4"/>
              <w:spacing w:after="120"/>
              <w:ind w:firstLine="380"/>
              <w:jc w:val="both"/>
              <w:rPr>
                <w:highlight w:val="none"/>
              </w:rPr>
            </w:pPr>
            <w:r>
              <w:rPr>
                <w:rFonts w:ascii="仿宋_GB2312" w:hAnsi="仿宋_GB2312" w:eastAsia="仿宋_GB2312" w:cs="仿宋_GB2312"/>
                <w:color w:val="000000"/>
                <w:sz w:val="24"/>
                <w:highlight w:val="none"/>
              </w:rPr>
              <w:t>2（东楼）</w:t>
            </w:r>
          </w:p>
        </w:tc>
        <w:tc>
          <w:tcPr>
            <w:tcW w:w="1339" w:type="dxa"/>
            <w:vMerge w:val="restart"/>
            <w:tcBorders>
              <w:top w:val="nil"/>
              <w:left w:val="nil"/>
              <w:bottom w:val="single" w:color="000000" w:sz="4" w:space="0"/>
              <w:right w:val="single" w:color="000000" w:sz="4" w:space="0"/>
            </w:tcBorders>
            <w:tcMar>
              <w:top w:w="0" w:type="dxa"/>
              <w:left w:w="90" w:type="dxa"/>
              <w:bottom w:w="0" w:type="dxa"/>
              <w:right w:w="90" w:type="dxa"/>
            </w:tcMar>
            <w:vAlign w:val="top"/>
          </w:tcPr>
          <w:p w14:paraId="52319DB0">
            <w:pPr>
              <w:pStyle w:val="4"/>
              <w:spacing w:after="120"/>
              <w:ind w:firstLine="380"/>
              <w:jc w:val="both"/>
              <w:rPr>
                <w:highlight w:val="none"/>
              </w:rPr>
            </w:pPr>
            <w:r>
              <w:rPr>
                <w:rFonts w:ascii="仿宋_GB2312" w:hAnsi="仿宋_GB2312" w:eastAsia="仿宋_GB2312" w:cs="仿宋_GB2312"/>
                <w:color w:val="000000"/>
                <w:sz w:val="24"/>
                <w:highlight w:val="none"/>
              </w:rPr>
              <w:t>学生宿舍楼</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3B57775E">
            <w:pPr>
              <w:pStyle w:val="4"/>
              <w:spacing w:after="120"/>
              <w:ind w:firstLine="380"/>
              <w:jc w:val="both"/>
              <w:rPr>
                <w:highlight w:val="none"/>
              </w:rPr>
            </w:pPr>
            <w:r>
              <w:rPr>
                <w:rFonts w:ascii="仿宋_GB2312" w:hAnsi="仿宋_GB2312" w:eastAsia="仿宋_GB2312" w:cs="仿宋_GB2312"/>
                <w:color w:val="000000"/>
                <w:sz w:val="24"/>
                <w:highlight w:val="none"/>
              </w:rPr>
              <w:t>5</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29F79351">
            <w:pPr>
              <w:pStyle w:val="4"/>
              <w:spacing w:after="120"/>
              <w:ind w:firstLine="380"/>
              <w:jc w:val="both"/>
              <w:rPr>
                <w:highlight w:val="none"/>
              </w:rPr>
            </w:pPr>
            <w:r>
              <w:rPr>
                <w:rFonts w:ascii="仿宋_GB2312" w:hAnsi="仿宋_GB2312" w:eastAsia="仿宋_GB2312" w:cs="仿宋_GB2312"/>
                <w:color w:val="000000"/>
                <w:sz w:val="24"/>
                <w:highlight w:val="none"/>
              </w:rPr>
              <w:t>1576</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42F3E54A">
            <w:pPr>
              <w:pStyle w:val="4"/>
              <w:spacing w:after="120"/>
              <w:ind w:firstLine="380"/>
              <w:jc w:val="both"/>
              <w:rPr>
                <w:highlight w:val="none"/>
              </w:rPr>
            </w:pPr>
            <w:r>
              <w:rPr>
                <w:rFonts w:ascii="仿宋_GB2312" w:hAnsi="仿宋_GB2312" w:eastAsia="仿宋_GB2312" w:cs="仿宋_GB2312"/>
                <w:color w:val="000000"/>
                <w:sz w:val="24"/>
                <w:highlight w:val="none"/>
              </w:rPr>
              <w:t>15</w:t>
            </w:r>
          </w:p>
        </w:tc>
        <w:tc>
          <w:tcPr>
            <w:tcW w:w="1410" w:type="dxa"/>
            <w:tcBorders>
              <w:top w:val="nil"/>
              <w:left w:val="nil"/>
              <w:bottom w:val="single" w:color="000000" w:sz="4" w:space="0"/>
              <w:right w:val="single" w:color="000000" w:sz="4" w:space="0"/>
            </w:tcBorders>
            <w:tcMar>
              <w:top w:w="0" w:type="dxa"/>
              <w:left w:w="90" w:type="dxa"/>
              <w:bottom w:w="0" w:type="dxa"/>
              <w:right w:w="90" w:type="dxa"/>
            </w:tcMar>
            <w:vAlign w:val="top"/>
          </w:tcPr>
          <w:p w14:paraId="00557227">
            <w:pPr>
              <w:pStyle w:val="4"/>
              <w:spacing w:after="120"/>
              <w:ind w:firstLine="380"/>
              <w:jc w:val="both"/>
              <w:rPr>
                <w:highlight w:val="none"/>
              </w:rPr>
            </w:pPr>
            <w:r>
              <w:rPr>
                <w:rFonts w:ascii="仿宋_GB2312" w:hAnsi="仿宋_GB2312" w:eastAsia="仿宋_GB2312" w:cs="仿宋_GB2312"/>
                <w:color w:val="000000"/>
                <w:sz w:val="24"/>
                <w:highlight w:val="none"/>
              </w:rPr>
              <w:t>公共浴室、培训宿舍等</w:t>
            </w:r>
          </w:p>
        </w:tc>
        <w:tc>
          <w:tcPr>
            <w:tcW w:w="620" w:type="dxa"/>
            <w:tcBorders>
              <w:top w:val="nil"/>
              <w:left w:val="nil"/>
              <w:bottom w:val="single" w:color="000000" w:sz="4" w:space="0"/>
              <w:right w:val="single" w:color="000000" w:sz="4" w:space="0"/>
            </w:tcBorders>
            <w:tcMar>
              <w:top w:w="0" w:type="dxa"/>
              <w:left w:w="90" w:type="dxa"/>
              <w:bottom w:w="0" w:type="dxa"/>
              <w:right w:w="90" w:type="dxa"/>
            </w:tcMar>
            <w:vAlign w:val="top"/>
          </w:tcPr>
          <w:p w14:paraId="71744F0D">
            <w:pPr>
              <w:pStyle w:val="4"/>
              <w:spacing w:after="120"/>
              <w:ind w:firstLine="380"/>
              <w:jc w:val="both"/>
              <w:rPr>
                <w:highlight w:val="none"/>
              </w:rPr>
            </w:pPr>
            <w:r>
              <w:rPr>
                <w:rFonts w:ascii="仿宋_GB2312" w:hAnsi="仿宋_GB2312" w:eastAsia="仿宋_GB2312" w:cs="仿宋_GB2312"/>
                <w:color w:val="000000"/>
                <w:sz w:val="24"/>
                <w:highlight w:val="none"/>
              </w:rPr>
              <w:t>2</w:t>
            </w:r>
          </w:p>
        </w:tc>
        <w:tc>
          <w:tcPr>
            <w:tcW w:w="1255" w:type="dxa"/>
            <w:tcBorders>
              <w:top w:val="nil"/>
              <w:left w:val="nil"/>
              <w:bottom w:val="single" w:color="000000" w:sz="4" w:space="0"/>
              <w:right w:val="single" w:color="000000" w:sz="4" w:space="0"/>
            </w:tcBorders>
            <w:tcMar>
              <w:top w:w="0" w:type="dxa"/>
              <w:left w:w="90" w:type="dxa"/>
              <w:bottom w:w="0" w:type="dxa"/>
              <w:right w:w="90" w:type="dxa"/>
            </w:tcMar>
            <w:vAlign w:val="top"/>
          </w:tcPr>
          <w:p w14:paraId="17371B47">
            <w:pPr>
              <w:pStyle w:val="4"/>
              <w:spacing w:after="120"/>
              <w:ind w:firstLine="380"/>
              <w:jc w:val="both"/>
              <w:rPr>
                <w:highlight w:val="none"/>
              </w:rPr>
            </w:pPr>
            <w:r>
              <w:rPr>
                <w:rFonts w:ascii="仿宋_GB2312" w:hAnsi="仿宋_GB2312" w:eastAsia="仿宋_GB2312" w:cs="仿宋_GB2312"/>
                <w:color w:val="000000"/>
                <w:sz w:val="24"/>
                <w:highlight w:val="none"/>
              </w:rPr>
              <w:t>758.21</w:t>
            </w:r>
          </w:p>
        </w:tc>
      </w:tr>
      <w:tr w14:paraId="40EF98C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3EC8D66D">
            <w:pPr>
              <w:pStyle w:val="4"/>
              <w:spacing w:after="120"/>
              <w:ind w:firstLine="380"/>
              <w:jc w:val="both"/>
              <w:rPr>
                <w:highlight w:val="none"/>
              </w:rPr>
            </w:pPr>
            <w:r>
              <w:rPr>
                <w:rFonts w:ascii="仿宋_GB2312" w:hAnsi="仿宋_GB2312" w:eastAsia="仿宋_GB2312" w:cs="仿宋_GB2312"/>
                <w:color w:val="000000"/>
                <w:sz w:val="24"/>
                <w:highlight w:val="none"/>
              </w:rPr>
              <w:t>2（西楼）</w:t>
            </w:r>
          </w:p>
        </w:tc>
        <w:tc>
          <w:tcPr>
            <w:tcW w:w="1339" w:type="dxa"/>
            <w:vMerge w:val="continue"/>
            <w:tcBorders>
              <w:top w:val="nil"/>
              <w:left w:val="nil"/>
              <w:bottom w:val="single" w:color="000000" w:sz="4" w:space="0"/>
              <w:right w:val="single" w:color="000000" w:sz="4" w:space="0"/>
            </w:tcBorders>
          </w:tcPr>
          <w:p w14:paraId="3B41583E">
            <w:pPr>
              <w:rPr>
                <w:highlight w:val="none"/>
              </w:rPr>
            </w:pP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3EF9D023">
            <w:pPr>
              <w:pStyle w:val="4"/>
              <w:spacing w:after="120"/>
              <w:ind w:firstLine="380"/>
              <w:jc w:val="both"/>
              <w:rPr>
                <w:highlight w:val="none"/>
              </w:rPr>
            </w:pPr>
            <w:r>
              <w:rPr>
                <w:rFonts w:ascii="仿宋_GB2312" w:hAnsi="仿宋_GB2312" w:eastAsia="仿宋_GB2312" w:cs="仿宋_GB2312"/>
                <w:color w:val="000000"/>
                <w:sz w:val="24"/>
                <w:highlight w:val="none"/>
              </w:rPr>
              <w:t>6</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48130C5E">
            <w:pPr>
              <w:pStyle w:val="4"/>
              <w:spacing w:after="120"/>
              <w:ind w:firstLine="380"/>
              <w:jc w:val="both"/>
              <w:rPr>
                <w:highlight w:val="none"/>
              </w:rPr>
            </w:pPr>
            <w:r>
              <w:rPr>
                <w:rFonts w:ascii="仿宋_GB2312" w:hAnsi="仿宋_GB2312" w:eastAsia="仿宋_GB2312" w:cs="仿宋_GB2312"/>
                <w:color w:val="000000"/>
                <w:sz w:val="24"/>
                <w:highlight w:val="none"/>
              </w:rPr>
              <w:t>891</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2DEC2089">
            <w:pPr>
              <w:pStyle w:val="4"/>
              <w:spacing w:after="120"/>
              <w:ind w:firstLine="380"/>
              <w:jc w:val="both"/>
              <w:rPr>
                <w:highlight w:val="none"/>
              </w:rPr>
            </w:pPr>
            <w:r>
              <w:rPr>
                <w:rFonts w:ascii="仿宋_GB2312" w:hAnsi="仿宋_GB2312" w:eastAsia="仿宋_GB2312" w:cs="仿宋_GB2312"/>
                <w:color w:val="000000"/>
                <w:sz w:val="24"/>
                <w:highlight w:val="none"/>
              </w:rPr>
              <w:t>16</w:t>
            </w:r>
          </w:p>
        </w:tc>
        <w:tc>
          <w:tcPr>
            <w:tcW w:w="1410" w:type="dxa"/>
            <w:tcBorders>
              <w:top w:val="nil"/>
              <w:left w:val="nil"/>
              <w:bottom w:val="single" w:color="000000" w:sz="4" w:space="0"/>
              <w:right w:val="single" w:color="000000" w:sz="4" w:space="0"/>
            </w:tcBorders>
            <w:tcMar>
              <w:top w:w="0" w:type="dxa"/>
              <w:left w:w="90" w:type="dxa"/>
              <w:bottom w:w="0" w:type="dxa"/>
              <w:right w:w="90" w:type="dxa"/>
            </w:tcMar>
            <w:vAlign w:val="top"/>
          </w:tcPr>
          <w:p w14:paraId="3284C01A">
            <w:pPr>
              <w:pStyle w:val="4"/>
              <w:spacing w:after="120"/>
              <w:ind w:firstLine="380"/>
              <w:jc w:val="both"/>
              <w:rPr>
                <w:highlight w:val="none"/>
              </w:rPr>
            </w:pPr>
            <w:r>
              <w:rPr>
                <w:rFonts w:ascii="仿宋_GB2312" w:hAnsi="仿宋_GB2312" w:eastAsia="仿宋_GB2312" w:cs="仿宋_GB2312"/>
                <w:color w:val="000000"/>
                <w:sz w:val="24"/>
                <w:highlight w:val="none"/>
              </w:rPr>
              <w:t>公共浴室、培训宿舍等</w:t>
            </w:r>
          </w:p>
        </w:tc>
        <w:tc>
          <w:tcPr>
            <w:tcW w:w="620" w:type="dxa"/>
            <w:tcBorders>
              <w:top w:val="nil"/>
              <w:left w:val="nil"/>
              <w:bottom w:val="single" w:color="000000" w:sz="4" w:space="0"/>
              <w:right w:val="single" w:color="000000" w:sz="4" w:space="0"/>
            </w:tcBorders>
            <w:tcMar>
              <w:top w:w="0" w:type="dxa"/>
              <w:left w:w="90" w:type="dxa"/>
              <w:bottom w:w="0" w:type="dxa"/>
              <w:right w:w="90" w:type="dxa"/>
            </w:tcMar>
            <w:vAlign w:val="top"/>
          </w:tcPr>
          <w:p w14:paraId="5FB31499">
            <w:pPr>
              <w:pStyle w:val="4"/>
              <w:spacing w:after="120"/>
              <w:ind w:firstLine="380"/>
              <w:jc w:val="both"/>
              <w:rPr>
                <w:highlight w:val="none"/>
              </w:rPr>
            </w:pPr>
            <w:r>
              <w:rPr>
                <w:rFonts w:ascii="仿宋_GB2312" w:hAnsi="仿宋_GB2312" w:eastAsia="仿宋_GB2312" w:cs="仿宋_GB2312"/>
                <w:color w:val="000000"/>
                <w:sz w:val="24"/>
                <w:highlight w:val="none"/>
              </w:rPr>
              <w:t>3</w:t>
            </w:r>
          </w:p>
        </w:tc>
        <w:tc>
          <w:tcPr>
            <w:tcW w:w="1255" w:type="dxa"/>
            <w:tcBorders>
              <w:top w:val="nil"/>
              <w:left w:val="nil"/>
              <w:bottom w:val="single" w:color="000000" w:sz="4" w:space="0"/>
              <w:right w:val="single" w:color="000000" w:sz="4" w:space="0"/>
            </w:tcBorders>
            <w:tcMar>
              <w:top w:w="0" w:type="dxa"/>
              <w:left w:w="90" w:type="dxa"/>
              <w:bottom w:w="0" w:type="dxa"/>
              <w:right w:w="90" w:type="dxa"/>
            </w:tcMar>
            <w:vAlign w:val="top"/>
          </w:tcPr>
          <w:p w14:paraId="1FE30614">
            <w:pPr>
              <w:pStyle w:val="4"/>
              <w:spacing w:after="120"/>
              <w:ind w:firstLine="380"/>
              <w:jc w:val="both"/>
              <w:rPr>
                <w:highlight w:val="none"/>
              </w:rPr>
            </w:pPr>
            <w:r>
              <w:rPr>
                <w:rFonts w:ascii="仿宋_GB2312" w:hAnsi="仿宋_GB2312" w:eastAsia="仿宋_GB2312" w:cs="仿宋_GB2312"/>
                <w:color w:val="000000"/>
                <w:sz w:val="24"/>
                <w:highlight w:val="none"/>
              </w:rPr>
              <w:t>1056</w:t>
            </w:r>
          </w:p>
        </w:tc>
      </w:tr>
      <w:tr w14:paraId="366CA47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6F3E5561">
            <w:pPr>
              <w:pStyle w:val="4"/>
              <w:spacing w:after="120"/>
              <w:ind w:firstLine="380"/>
              <w:jc w:val="both"/>
              <w:rPr>
                <w:highlight w:val="none"/>
              </w:rPr>
            </w:pPr>
            <w:r>
              <w:rPr>
                <w:rFonts w:ascii="仿宋_GB2312" w:hAnsi="仿宋_GB2312" w:eastAsia="仿宋_GB2312" w:cs="仿宋_GB2312"/>
                <w:color w:val="000000"/>
                <w:sz w:val="24"/>
                <w:highlight w:val="none"/>
              </w:rPr>
              <w:t>3</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00BFC7C6">
            <w:pPr>
              <w:pStyle w:val="4"/>
              <w:spacing w:after="120"/>
              <w:ind w:firstLine="380"/>
              <w:jc w:val="both"/>
              <w:rPr>
                <w:highlight w:val="none"/>
              </w:rPr>
            </w:pPr>
            <w:r>
              <w:rPr>
                <w:rFonts w:ascii="仿宋_GB2312" w:hAnsi="仿宋_GB2312" w:eastAsia="仿宋_GB2312" w:cs="仿宋_GB2312"/>
                <w:color w:val="000000"/>
                <w:sz w:val="24"/>
                <w:highlight w:val="none"/>
              </w:rPr>
              <w:t>学生宿舍楼</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73481A77">
            <w:pPr>
              <w:pStyle w:val="4"/>
              <w:spacing w:after="120"/>
              <w:ind w:firstLine="380"/>
              <w:jc w:val="both"/>
              <w:rPr>
                <w:highlight w:val="none"/>
              </w:rPr>
            </w:pPr>
            <w:r>
              <w:rPr>
                <w:rFonts w:ascii="仿宋_GB2312" w:hAnsi="仿宋_GB2312" w:eastAsia="仿宋_GB2312" w:cs="仿宋_GB2312"/>
                <w:color w:val="000000"/>
                <w:sz w:val="24"/>
                <w:highlight w:val="none"/>
              </w:rPr>
              <w:t>5</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2950DBC2">
            <w:pPr>
              <w:pStyle w:val="4"/>
              <w:spacing w:after="120"/>
              <w:ind w:firstLine="380"/>
              <w:jc w:val="both"/>
              <w:rPr>
                <w:highlight w:val="none"/>
              </w:rPr>
            </w:pPr>
            <w:r>
              <w:rPr>
                <w:rFonts w:ascii="仿宋_GB2312" w:hAnsi="仿宋_GB2312" w:eastAsia="仿宋_GB2312" w:cs="仿宋_GB2312"/>
                <w:color w:val="000000"/>
                <w:sz w:val="24"/>
                <w:highlight w:val="none"/>
              </w:rPr>
              <w:t>2253</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48DB4FF0">
            <w:pPr>
              <w:pStyle w:val="4"/>
              <w:spacing w:after="120"/>
              <w:ind w:firstLine="380"/>
              <w:jc w:val="both"/>
              <w:rPr>
                <w:highlight w:val="none"/>
              </w:rPr>
            </w:pPr>
            <w:r>
              <w:rPr>
                <w:rFonts w:ascii="仿宋_GB2312" w:hAnsi="仿宋_GB2312" w:eastAsia="仿宋_GB2312" w:cs="仿宋_GB2312"/>
                <w:color w:val="000000"/>
                <w:sz w:val="24"/>
                <w:highlight w:val="none"/>
              </w:rPr>
              <w:t>18</w:t>
            </w:r>
          </w:p>
        </w:tc>
        <w:tc>
          <w:tcPr>
            <w:tcW w:w="1410" w:type="dxa"/>
            <w:tcBorders>
              <w:top w:val="nil"/>
              <w:left w:val="nil"/>
              <w:bottom w:val="single" w:color="000000" w:sz="4" w:space="0"/>
              <w:right w:val="single" w:color="000000" w:sz="4" w:space="0"/>
            </w:tcBorders>
            <w:tcMar>
              <w:top w:w="0" w:type="dxa"/>
              <w:left w:w="90" w:type="dxa"/>
              <w:bottom w:w="0" w:type="dxa"/>
              <w:right w:w="90" w:type="dxa"/>
            </w:tcMar>
            <w:vAlign w:val="top"/>
          </w:tcPr>
          <w:p w14:paraId="26296957">
            <w:pPr>
              <w:pStyle w:val="4"/>
              <w:spacing w:after="120"/>
              <w:ind w:firstLine="380"/>
              <w:jc w:val="both"/>
              <w:rPr>
                <w:highlight w:val="none"/>
              </w:rPr>
            </w:pPr>
            <w:r>
              <w:rPr>
                <w:rFonts w:ascii="仿宋_GB2312" w:hAnsi="仿宋_GB2312" w:eastAsia="仿宋_GB2312" w:cs="仿宋_GB2312"/>
                <w:color w:val="000000"/>
                <w:sz w:val="24"/>
                <w:highlight w:val="none"/>
              </w:rPr>
              <w:t>观礼台、仓库、实训室</w:t>
            </w:r>
          </w:p>
        </w:tc>
        <w:tc>
          <w:tcPr>
            <w:tcW w:w="620" w:type="dxa"/>
            <w:tcBorders>
              <w:top w:val="nil"/>
              <w:left w:val="nil"/>
              <w:bottom w:val="single" w:color="000000" w:sz="4" w:space="0"/>
              <w:right w:val="single" w:color="000000" w:sz="4" w:space="0"/>
            </w:tcBorders>
            <w:tcMar>
              <w:top w:w="0" w:type="dxa"/>
              <w:left w:w="90" w:type="dxa"/>
              <w:bottom w:w="0" w:type="dxa"/>
              <w:right w:w="90" w:type="dxa"/>
            </w:tcMar>
            <w:vAlign w:val="top"/>
          </w:tcPr>
          <w:p w14:paraId="1DD08D47">
            <w:pPr>
              <w:pStyle w:val="4"/>
              <w:spacing w:after="120"/>
              <w:ind w:firstLine="380"/>
              <w:jc w:val="both"/>
              <w:rPr>
                <w:highlight w:val="none"/>
              </w:rPr>
            </w:pPr>
            <w:r>
              <w:rPr>
                <w:rFonts w:ascii="仿宋_GB2312" w:hAnsi="仿宋_GB2312" w:eastAsia="仿宋_GB2312" w:cs="仿宋_GB2312"/>
                <w:color w:val="000000"/>
                <w:sz w:val="24"/>
                <w:highlight w:val="none"/>
              </w:rPr>
              <w:t>2</w:t>
            </w:r>
          </w:p>
        </w:tc>
        <w:tc>
          <w:tcPr>
            <w:tcW w:w="1255" w:type="dxa"/>
            <w:tcBorders>
              <w:top w:val="nil"/>
              <w:left w:val="nil"/>
              <w:bottom w:val="single" w:color="000000" w:sz="4" w:space="0"/>
              <w:right w:val="single" w:color="000000" w:sz="4" w:space="0"/>
            </w:tcBorders>
            <w:tcMar>
              <w:top w:w="0" w:type="dxa"/>
              <w:left w:w="90" w:type="dxa"/>
              <w:bottom w:w="0" w:type="dxa"/>
              <w:right w:w="90" w:type="dxa"/>
            </w:tcMar>
            <w:vAlign w:val="top"/>
          </w:tcPr>
          <w:p w14:paraId="5216E7BB">
            <w:pPr>
              <w:pStyle w:val="4"/>
              <w:spacing w:after="120"/>
              <w:ind w:firstLine="380"/>
              <w:jc w:val="both"/>
              <w:rPr>
                <w:highlight w:val="none"/>
              </w:rPr>
            </w:pPr>
            <w:r>
              <w:rPr>
                <w:rFonts w:ascii="仿宋_GB2312" w:hAnsi="仿宋_GB2312" w:eastAsia="仿宋_GB2312" w:cs="仿宋_GB2312"/>
                <w:color w:val="000000"/>
                <w:sz w:val="24"/>
                <w:highlight w:val="none"/>
              </w:rPr>
              <w:t>543</w:t>
            </w:r>
          </w:p>
        </w:tc>
      </w:tr>
      <w:tr w14:paraId="5BFC1FE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21DD4AF7">
            <w:pPr>
              <w:pStyle w:val="4"/>
              <w:spacing w:after="120"/>
              <w:ind w:firstLine="380"/>
              <w:jc w:val="both"/>
              <w:rPr>
                <w:highlight w:val="none"/>
              </w:rPr>
            </w:pPr>
            <w:r>
              <w:rPr>
                <w:rFonts w:ascii="仿宋_GB2312" w:hAnsi="仿宋_GB2312" w:eastAsia="仿宋_GB2312" w:cs="仿宋_GB2312"/>
                <w:color w:val="000000"/>
                <w:sz w:val="24"/>
                <w:highlight w:val="none"/>
              </w:rPr>
              <w:t>4（2-6）</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0984FD4D">
            <w:pPr>
              <w:pStyle w:val="4"/>
              <w:spacing w:after="120"/>
              <w:ind w:firstLine="380"/>
              <w:jc w:val="both"/>
              <w:rPr>
                <w:highlight w:val="none"/>
              </w:rPr>
            </w:pPr>
            <w:r>
              <w:rPr>
                <w:rFonts w:ascii="仿宋_GB2312" w:hAnsi="仿宋_GB2312" w:eastAsia="仿宋_GB2312" w:cs="仿宋_GB2312"/>
                <w:color w:val="000000"/>
                <w:sz w:val="24"/>
                <w:highlight w:val="none"/>
              </w:rPr>
              <w:t>学生宿舍楼</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3D6714F9">
            <w:pPr>
              <w:pStyle w:val="4"/>
              <w:spacing w:after="120"/>
              <w:ind w:firstLine="380"/>
              <w:jc w:val="both"/>
              <w:rPr>
                <w:highlight w:val="none"/>
              </w:rPr>
            </w:pPr>
            <w:r>
              <w:rPr>
                <w:rFonts w:ascii="仿宋_GB2312" w:hAnsi="仿宋_GB2312" w:eastAsia="仿宋_GB2312" w:cs="仿宋_GB2312"/>
                <w:color w:val="000000"/>
                <w:sz w:val="24"/>
                <w:highlight w:val="none"/>
              </w:rPr>
              <w:t>5</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112CEB98">
            <w:pPr>
              <w:pStyle w:val="4"/>
              <w:spacing w:after="120"/>
              <w:ind w:firstLine="380"/>
              <w:jc w:val="both"/>
              <w:rPr>
                <w:highlight w:val="none"/>
              </w:rPr>
            </w:pPr>
            <w:r>
              <w:rPr>
                <w:rFonts w:ascii="仿宋_GB2312" w:hAnsi="仿宋_GB2312" w:eastAsia="仿宋_GB2312" w:cs="仿宋_GB2312"/>
                <w:color w:val="000000"/>
                <w:sz w:val="24"/>
                <w:highlight w:val="none"/>
              </w:rPr>
              <w:t>1194</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566A6AB3">
            <w:pPr>
              <w:pStyle w:val="4"/>
              <w:spacing w:after="120"/>
              <w:ind w:firstLine="380"/>
              <w:jc w:val="both"/>
              <w:rPr>
                <w:highlight w:val="none"/>
              </w:rPr>
            </w:pPr>
            <w:r>
              <w:rPr>
                <w:rFonts w:ascii="仿宋_GB2312" w:hAnsi="仿宋_GB2312" w:eastAsia="仿宋_GB2312" w:cs="仿宋_GB2312"/>
                <w:color w:val="000000"/>
                <w:sz w:val="24"/>
                <w:highlight w:val="none"/>
              </w:rPr>
              <w:t>19</w:t>
            </w:r>
          </w:p>
        </w:tc>
        <w:tc>
          <w:tcPr>
            <w:tcW w:w="1410" w:type="dxa"/>
            <w:tcBorders>
              <w:top w:val="nil"/>
              <w:left w:val="nil"/>
              <w:bottom w:val="single" w:color="000000" w:sz="4" w:space="0"/>
              <w:right w:val="single" w:color="000000" w:sz="4" w:space="0"/>
            </w:tcBorders>
            <w:tcMar>
              <w:top w:w="0" w:type="dxa"/>
              <w:left w:w="90" w:type="dxa"/>
              <w:bottom w:w="0" w:type="dxa"/>
              <w:right w:w="90" w:type="dxa"/>
            </w:tcMar>
            <w:vAlign w:val="top"/>
          </w:tcPr>
          <w:p w14:paraId="7A5D6306">
            <w:pPr>
              <w:pStyle w:val="4"/>
              <w:spacing w:after="120"/>
              <w:ind w:firstLine="380"/>
              <w:jc w:val="both"/>
              <w:rPr>
                <w:highlight w:val="none"/>
              </w:rPr>
            </w:pPr>
            <w:r>
              <w:rPr>
                <w:rFonts w:ascii="仿宋_GB2312" w:hAnsi="仿宋_GB2312" w:eastAsia="仿宋_GB2312" w:cs="仿宋_GB2312"/>
                <w:color w:val="000000"/>
                <w:sz w:val="24"/>
                <w:highlight w:val="none"/>
              </w:rPr>
              <w:t>配电房、宿舍</w:t>
            </w:r>
          </w:p>
        </w:tc>
        <w:tc>
          <w:tcPr>
            <w:tcW w:w="620" w:type="dxa"/>
            <w:tcBorders>
              <w:top w:val="nil"/>
              <w:left w:val="nil"/>
              <w:bottom w:val="single" w:color="000000" w:sz="4" w:space="0"/>
              <w:right w:val="single" w:color="000000" w:sz="4" w:space="0"/>
            </w:tcBorders>
            <w:tcMar>
              <w:top w:w="0" w:type="dxa"/>
              <w:left w:w="90" w:type="dxa"/>
              <w:bottom w:w="0" w:type="dxa"/>
              <w:right w:w="90" w:type="dxa"/>
            </w:tcMar>
            <w:vAlign w:val="top"/>
          </w:tcPr>
          <w:p w14:paraId="621C0C59">
            <w:pPr>
              <w:pStyle w:val="4"/>
              <w:spacing w:after="120"/>
              <w:ind w:firstLine="380"/>
              <w:jc w:val="both"/>
              <w:rPr>
                <w:highlight w:val="none"/>
              </w:rPr>
            </w:pPr>
            <w:r>
              <w:rPr>
                <w:rFonts w:ascii="仿宋_GB2312" w:hAnsi="仿宋_GB2312" w:eastAsia="仿宋_GB2312" w:cs="仿宋_GB2312"/>
                <w:color w:val="000000"/>
                <w:sz w:val="24"/>
                <w:highlight w:val="none"/>
              </w:rPr>
              <w:t>2</w:t>
            </w:r>
          </w:p>
        </w:tc>
        <w:tc>
          <w:tcPr>
            <w:tcW w:w="1255" w:type="dxa"/>
            <w:tcBorders>
              <w:top w:val="nil"/>
              <w:left w:val="nil"/>
              <w:bottom w:val="single" w:color="000000" w:sz="4" w:space="0"/>
              <w:right w:val="single" w:color="000000" w:sz="4" w:space="0"/>
            </w:tcBorders>
            <w:tcMar>
              <w:top w:w="0" w:type="dxa"/>
              <w:left w:w="90" w:type="dxa"/>
              <w:bottom w:w="0" w:type="dxa"/>
              <w:right w:w="90" w:type="dxa"/>
            </w:tcMar>
            <w:vAlign w:val="top"/>
          </w:tcPr>
          <w:p w14:paraId="03BE3847">
            <w:pPr>
              <w:pStyle w:val="4"/>
              <w:spacing w:after="120"/>
              <w:ind w:firstLine="380"/>
              <w:jc w:val="both"/>
              <w:rPr>
                <w:highlight w:val="none"/>
              </w:rPr>
            </w:pPr>
            <w:r>
              <w:rPr>
                <w:rFonts w:ascii="仿宋_GB2312" w:hAnsi="仿宋_GB2312" w:eastAsia="仿宋_GB2312" w:cs="仿宋_GB2312"/>
                <w:color w:val="000000"/>
                <w:sz w:val="24"/>
                <w:highlight w:val="none"/>
              </w:rPr>
              <w:t>330</w:t>
            </w:r>
          </w:p>
        </w:tc>
      </w:tr>
      <w:tr w14:paraId="174ED1D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15F1CA6B">
            <w:pPr>
              <w:pStyle w:val="4"/>
              <w:spacing w:after="120"/>
              <w:ind w:firstLine="380"/>
              <w:jc w:val="both"/>
              <w:rPr>
                <w:highlight w:val="none"/>
              </w:rPr>
            </w:pPr>
            <w:r>
              <w:rPr>
                <w:rFonts w:ascii="仿宋_GB2312" w:hAnsi="仿宋_GB2312" w:eastAsia="仿宋_GB2312" w:cs="仿宋_GB2312"/>
                <w:color w:val="000000"/>
                <w:sz w:val="24"/>
                <w:highlight w:val="none"/>
              </w:rPr>
              <w:t>4一层及附楼</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107254EC">
            <w:pPr>
              <w:pStyle w:val="4"/>
              <w:spacing w:after="120"/>
              <w:ind w:firstLine="380"/>
              <w:jc w:val="both"/>
              <w:rPr>
                <w:highlight w:val="none"/>
              </w:rPr>
            </w:pPr>
            <w:r>
              <w:rPr>
                <w:rFonts w:ascii="仿宋_GB2312" w:hAnsi="仿宋_GB2312" w:eastAsia="仿宋_GB2312" w:cs="仿宋_GB2312"/>
                <w:color w:val="000000"/>
                <w:sz w:val="24"/>
                <w:highlight w:val="none"/>
              </w:rPr>
              <w:t>食堂、多功能厅</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68EDFC4F">
            <w:pPr>
              <w:pStyle w:val="4"/>
              <w:spacing w:after="120"/>
              <w:ind w:firstLine="380"/>
              <w:jc w:val="both"/>
              <w:rPr>
                <w:highlight w:val="none"/>
              </w:rPr>
            </w:pPr>
            <w:r>
              <w:rPr>
                <w:rFonts w:ascii="仿宋_GB2312" w:hAnsi="仿宋_GB2312" w:eastAsia="仿宋_GB2312" w:cs="仿宋_GB2312"/>
                <w:color w:val="000000"/>
                <w:sz w:val="24"/>
                <w:highlight w:val="none"/>
              </w:rPr>
              <w:t>1、2</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6EEB824B">
            <w:pPr>
              <w:pStyle w:val="4"/>
              <w:spacing w:after="120"/>
              <w:ind w:firstLine="380"/>
              <w:jc w:val="both"/>
              <w:rPr>
                <w:highlight w:val="none"/>
              </w:rPr>
            </w:pPr>
            <w:r>
              <w:rPr>
                <w:rFonts w:ascii="仿宋_GB2312" w:hAnsi="仿宋_GB2312" w:eastAsia="仿宋_GB2312" w:cs="仿宋_GB2312"/>
                <w:color w:val="000000"/>
                <w:sz w:val="24"/>
                <w:highlight w:val="none"/>
              </w:rPr>
              <w:t>3111</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12D90FFA">
            <w:pPr>
              <w:pStyle w:val="4"/>
              <w:spacing w:after="120"/>
              <w:ind w:firstLine="380"/>
              <w:jc w:val="both"/>
              <w:rPr>
                <w:highlight w:val="none"/>
              </w:rPr>
            </w:pPr>
            <w:r>
              <w:rPr>
                <w:rFonts w:ascii="仿宋_GB2312" w:hAnsi="仿宋_GB2312" w:eastAsia="仿宋_GB2312" w:cs="仿宋_GB2312"/>
                <w:color w:val="000000"/>
                <w:sz w:val="24"/>
                <w:highlight w:val="none"/>
              </w:rPr>
              <w:t>创新楼</w:t>
            </w:r>
          </w:p>
        </w:tc>
        <w:tc>
          <w:tcPr>
            <w:tcW w:w="1410" w:type="dxa"/>
            <w:tcBorders>
              <w:top w:val="nil"/>
              <w:left w:val="nil"/>
              <w:bottom w:val="single" w:color="000000" w:sz="4" w:space="0"/>
              <w:right w:val="single" w:color="000000" w:sz="4" w:space="0"/>
            </w:tcBorders>
            <w:tcMar>
              <w:top w:w="0" w:type="dxa"/>
              <w:left w:w="90" w:type="dxa"/>
              <w:bottom w:w="0" w:type="dxa"/>
              <w:right w:w="90" w:type="dxa"/>
            </w:tcMar>
            <w:vAlign w:val="top"/>
          </w:tcPr>
          <w:p w14:paraId="6CE24554">
            <w:pPr>
              <w:pStyle w:val="4"/>
              <w:spacing w:after="120"/>
              <w:ind w:firstLine="380"/>
              <w:jc w:val="both"/>
              <w:rPr>
                <w:highlight w:val="none"/>
              </w:rPr>
            </w:pPr>
            <w:r>
              <w:rPr>
                <w:rFonts w:ascii="仿宋_GB2312" w:hAnsi="仿宋_GB2312" w:eastAsia="仿宋_GB2312" w:cs="仿宋_GB2312"/>
                <w:color w:val="000000"/>
                <w:sz w:val="24"/>
                <w:highlight w:val="none"/>
              </w:rPr>
              <w:t>办公、教学、实验</w:t>
            </w:r>
          </w:p>
        </w:tc>
        <w:tc>
          <w:tcPr>
            <w:tcW w:w="620" w:type="dxa"/>
            <w:tcBorders>
              <w:top w:val="nil"/>
              <w:left w:val="nil"/>
              <w:bottom w:val="single" w:color="000000" w:sz="4" w:space="0"/>
              <w:right w:val="single" w:color="000000" w:sz="4" w:space="0"/>
            </w:tcBorders>
            <w:tcMar>
              <w:top w:w="0" w:type="dxa"/>
              <w:left w:w="90" w:type="dxa"/>
              <w:bottom w:w="0" w:type="dxa"/>
              <w:right w:w="90" w:type="dxa"/>
            </w:tcMar>
            <w:vAlign w:val="top"/>
          </w:tcPr>
          <w:p w14:paraId="0844EAFD">
            <w:pPr>
              <w:pStyle w:val="4"/>
              <w:spacing w:after="120"/>
              <w:ind w:firstLine="380"/>
              <w:jc w:val="both"/>
              <w:rPr>
                <w:highlight w:val="none"/>
              </w:rPr>
            </w:pPr>
            <w:r>
              <w:rPr>
                <w:rFonts w:ascii="仿宋_GB2312" w:hAnsi="仿宋_GB2312" w:eastAsia="仿宋_GB2312" w:cs="仿宋_GB2312"/>
                <w:color w:val="000000"/>
                <w:sz w:val="24"/>
                <w:highlight w:val="none"/>
              </w:rPr>
              <w:t>10</w:t>
            </w:r>
          </w:p>
        </w:tc>
        <w:tc>
          <w:tcPr>
            <w:tcW w:w="1255" w:type="dxa"/>
            <w:tcBorders>
              <w:top w:val="nil"/>
              <w:left w:val="nil"/>
              <w:bottom w:val="single" w:color="000000" w:sz="4" w:space="0"/>
              <w:right w:val="single" w:color="000000" w:sz="4" w:space="0"/>
            </w:tcBorders>
            <w:tcMar>
              <w:top w:w="0" w:type="dxa"/>
              <w:left w:w="90" w:type="dxa"/>
              <w:bottom w:w="0" w:type="dxa"/>
              <w:right w:w="90" w:type="dxa"/>
            </w:tcMar>
            <w:vAlign w:val="top"/>
          </w:tcPr>
          <w:p w14:paraId="25F6DF74">
            <w:pPr>
              <w:pStyle w:val="4"/>
              <w:spacing w:after="120"/>
              <w:ind w:firstLine="380"/>
              <w:jc w:val="both"/>
              <w:rPr>
                <w:highlight w:val="none"/>
              </w:rPr>
            </w:pPr>
            <w:r>
              <w:rPr>
                <w:rFonts w:ascii="仿宋_GB2312" w:hAnsi="仿宋_GB2312" w:eastAsia="仿宋_GB2312" w:cs="仿宋_GB2312"/>
                <w:color w:val="000000"/>
                <w:sz w:val="24"/>
                <w:highlight w:val="none"/>
              </w:rPr>
              <w:t>18353.88</w:t>
            </w:r>
          </w:p>
        </w:tc>
      </w:tr>
      <w:tr w14:paraId="58D9A5B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6CF5A81C">
            <w:pPr>
              <w:pStyle w:val="4"/>
              <w:spacing w:after="120"/>
              <w:ind w:firstLine="380"/>
              <w:jc w:val="both"/>
              <w:rPr>
                <w:highlight w:val="none"/>
              </w:rPr>
            </w:pPr>
            <w:r>
              <w:rPr>
                <w:rFonts w:ascii="仿宋_GB2312" w:hAnsi="仿宋_GB2312" w:eastAsia="仿宋_GB2312" w:cs="仿宋_GB2312"/>
                <w:color w:val="000000"/>
                <w:sz w:val="24"/>
                <w:highlight w:val="none"/>
              </w:rPr>
              <w:t>5</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129DBAC4">
            <w:pPr>
              <w:pStyle w:val="4"/>
              <w:spacing w:after="120"/>
              <w:ind w:firstLine="380"/>
              <w:jc w:val="both"/>
              <w:rPr>
                <w:highlight w:val="none"/>
              </w:rPr>
            </w:pPr>
            <w:r>
              <w:rPr>
                <w:rFonts w:ascii="仿宋_GB2312" w:hAnsi="仿宋_GB2312" w:eastAsia="仿宋_GB2312" w:cs="仿宋_GB2312"/>
                <w:color w:val="000000"/>
                <w:sz w:val="24"/>
                <w:highlight w:val="none"/>
              </w:rPr>
              <w:t>学生宿舍楼</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26DDBD6F">
            <w:pPr>
              <w:pStyle w:val="4"/>
              <w:spacing w:after="120"/>
              <w:ind w:firstLine="380"/>
              <w:jc w:val="both"/>
              <w:rPr>
                <w:highlight w:val="none"/>
              </w:rPr>
            </w:pPr>
            <w:r>
              <w:rPr>
                <w:rFonts w:ascii="仿宋_GB2312" w:hAnsi="仿宋_GB2312" w:eastAsia="仿宋_GB2312" w:cs="仿宋_GB2312"/>
                <w:color w:val="000000"/>
                <w:sz w:val="24"/>
                <w:highlight w:val="none"/>
              </w:rPr>
              <w:t>5</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1BF0434B">
            <w:pPr>
              <w:pStyle w:val="4"/>
              <w:spacing w:after="120"/>
              <w:ind w:firstLine="380"/>
              <w:jc w:val="both"/>
              <w:rPr>
                <w:highlight w:val="none"/>
              </w:rPr>
            </w:pPr>
            <w:r>
              <w:rPr>
                <w:rFonts w:ascii="仿宋_GB2312" w:hAnsi="仿宋_GB2312" w:eastAsia="仿宋_GB2312" w:cs="仿宋_GB2312"/>
                <w:color w:val="000000"/>
                <w:sz w:val="24"/>
                <w:highlight w:val="none"/>
              </w:rPr>
              <w:t>1930</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11E4A068">
            <w:pPr>
              <w:pStyle w:val="4"/>
              <w:spacing w:after="120"/>
              <w:ind w:firstLine="380"/>
              <w:jc w:val="both"/>
              <w:rPr>
                <w:highlight w:val="none"/>
              </w:rPr>
            </w:pPr>
            <w:r>
              <w:rPr>
                <w:rFonts w:ascii="仿宋_GB2312" w:hAnsi="仿宋_GB2312" w:eastAsia="仿宋_GB2312" w:cs="仿宋_GB2312"/>
                <w:color w:val="000000"/>
                <w:sz w:val="24"/>
                <w:highlight w:val="none"/>
              </w:rPr>
              <w:t>创新楼地下室</w:t>
            </w:r>
          </w:p>
        </w:tc>
        <w:tc>
          <w:tcPr>
            <w:tcW w:w="1410" w:type="dxa"/>
            <w:tcBorders>
              <w:top w:val="nil"/>
              <w:left w:val="nil"/>
              <w:bottom w:val="single" w:color="000000" w:sz="4" w:space="0"/>
              <w:right w:val="single" w:color="000000" w:sz="4" w:space="0"/>
            </w:tcBorders>
            <w:tcMar>
              <w:top w:w="0" w:type="dxa"/>
              <w:left w:w="90" w:type="dxa"/>
              <w:bottom w:w="0" w:type="dxa"/>
              <w:right w:w="90" w:type="dxa"/>
            </w:tcMar>
            <w:vAlign w:val="top"/>
          </w:tcPr>
          <w:p w14:paraId="0F6D3C1C">
            <w:pPr>
              <w:pStyle w:val="4"/>
              <w:spacing w:after="120"/>
              <w:ind w:firstLine="380"/>
              <w:jc w:val="both"/>
              <w:rPr>
                <w:highlight w:val="none"/>
              </w:rPr>
            </w:pPr>
            <w:r>
              <w:rPr>
                <w:rFonts w:ascii="仿宋_GB2312" w:hAnsi="仿宋_GB2312" w:eastAsia="仿宋_GB2312" w:cs="仿宋_GB2312"/>
                <w:color w:val="000000"/>
                <w:sz w:val="24"/>
                <w:highlight w:val="none"/>
              </w:rPr>
              <w:t>停车场、配电房、水泵房</w:t>
            </w:r>
          </w:p>
        </w:tc>
        <w:tc>
          <w:tcPr>
            <w:tcW w:w="620" w:type="dxa"/>
            <w:tcBorders>
              <w:top w:val="nil"/>
              <w:left w:val="nil"/>
              <w:bottom w:val="single" w:color="000000" w:sz="4" w:space="0"/>
              <w:right w:val="single" w:color="000000" w:sz="4" w:space="0"/>
            </w:tcBorders>
            <w:tcMar>
              <w:top w:w="0" w:type="dxa"/>
              <w:left w:w="90" w:type="dxa"/>
              <w:bottom w:w="0" w:type="dxa"/>
              <w:right w:w="90" w:type="dxa"/>
            </w:tcMar>
            <w:vAlign w:val="top"/>
          </w:tcPr>
          <w:p w14:paraId="03A88351">
            <w:pPr>
              <w:pStyle w:val="4"/>
              <w:spacing w:after="120"/>
              <w:ind w:firstLine="380"/>
              <w:jc w:val="both"/>
              <w:rPr>
                <w:highlight w:val="none"/>
              </w:rPr>
            </w:pPr>
            <w:r>
              <w:rPr>
                <w:rFonts w:ascii="仿宋_GB2312" w:hAnsi="仿宋_GB2312" w:eastAsia="仿宋_GB2312" w:cs="仿宋_GB2312"/>
                <w:color w:val="000000"/>
                <w:sz w:val="24"/>
                <w:highlight w:val="none"/>
              </w:rPr>
              <w:t>-1</w:t>
            </w:r>
          </w:p>
        </w:tc>
        <w:tc>
          <w:tcPr>
            <w:tcW w:w="1255" w:type="dxa"/>
            <w:tcBorders>
              <w:top w:val="nil"/>
              <w:left w:val="nil"/>
              <w:bottom w:val="single" w:color="000000" w:sz="4" w:space="0"/>
              <w:right w:val="single" w:color="000000" w:sz="4" w:space="0"/>
            </w:tcBorders>
            <w:tcMar>
              <w:top w:w="0" w:type="dxa"/>
              <w:left w:w="90" w:type="dxa"/>
              <w:bottom w:w="0" w:type="dxa"/>
              <w:right w:w="90" w:type="dxa"/>
            </w:tcMar>
            <w:vAlign w:val="top"/>
          </w:tcPr>
          <w:p w14:paraId="56D99809">
            <w:pPr>
              <w:pStyle w:val="4"/>
              <w:spacing w:after="120"/>
              <w:ind w:firstLine="380"/>
              <w:jc w:val="both"/>
              <w:rPr>
                <w:highlight w:val="none"/>
              </w:rPr>
            </w:pPr>
            <w:r>
              <w:rPr>
                <w:rFonts w:ascii="仿宋_GB2312" w:hAnsi="仿宋_GB2312" w:eastAsia="仿宋_GB2312" w:cs="仿宋_GB2312"/>
                <w:color w:val="000000"/>
                <w:sz w:val="24"/>
                <w:highlight w:val="none"/>
              </w:rPr>
              <w:t>1000</w:t>
            </w:r>
          </w:p>
        </w:tc>
      </w:tr>
      <w:tr w14:paraId="51D9468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4BAC4FA9">
            <w:pPr>
              <w:pStyle w:val="4"/>
              <w:spacing w:after="120"/>
              <w:ind w:firstLine="380"/>
              <w:jc w:val="both"/>
              <w:rPr>
                <w:highlight w:val="none"/>
              </w:rPr>
            </w:pPr>
            <w:r>
              <w:rPr>
                <w:rFonts w:ascii="仿宋_GB2312" w:hAnsi="仿宋_GB2312" w:eastAsia="仿宋_GB2312" w:cs="仿宋_GB2312"/>
                <w:color w:val="000000"/>
                <w:sz w:val="24"/>
                <w:highlight w:val="none"/>
              </w:rPr>
              <w:t>6</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5E548139">
            <w:pPr>
              <w:pStyle w:val="4"/>
              <w:spacing w:after="120"/>
              <w:ind w:firstLine="380"/>
              <w:jc w:val="both"/>
              <w:rPr>
                <w:highlight w:val="none"/>
              </w:rPr>
            </w:pPr>
            <w:r>
              <w:rPr>
                <w:rFonts w:ascii="仿宋_GB2312" w:hAnsi="仿宋_GB2312" w:eastAsia="仿宋_GB2312" w:cs="仿宋_GB2312"/>
                <w:color w:val="000000"/>
                <w:sz w:val="24"/>
                <w:highlight w:val="none"/>
              </w:rPr>
              <w:t>学生宿舍楼</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79C283B8">
            <w:pPr>
              <w:pStyle w:val="4"/>
              <w:spacing w:after="120"/>
              <w:ind w:firstLine="380"/>
              <w:jc w:val="both"/>
              <w:rPr>
                <w:highlight w:val="none"/>
              </w:rPr>
            </w:pPr>
            <w:r>
              <w:rPr>
                <w:rFonts w:ascii="仿宋_GB2312" w:hAnsi="仿宋_GB2312" w:eastAsia="仿宋_GB2312" w:cs="仿宋_GB2312"/>
                <w:color w:val="000000"/>
                <w:sz w:val="24"/>
                <w:highlight w:val="none"/>
              </w:rPr>
              <w:t>5</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4658E015">
            <w:pPr>
              <w:pStyle w:val="4"/>
              <w:spacing w:after="120"/>
              <w:ind w:firstLine="380"/>
              <w:jc w:val="both"/>
              <w:rPr>
                <w:highlight w:val="none"/>
              </w:rPr>
            </w:pPr>
            <w:r>
              <w:rPr>
                <w:rFonts w:ascii="仿宋_GB2312" w:hAnsi="仿宋_GB2312" w:eastAsia="仿宋_GB2312" w:cs="仿宋_GB2312"/>
                <w:color w:val="000000"/>
                <w:sz w:val="24"/>
                <w:highlight w:val="none"/>
              </w:rPr>
              <w:t>1930</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57454E16">
            <w:pPr>
              <w:pStyle w:val="4"/>
              <w:spacing w:after="120"/>
              <w:ind w:firstLine="380"/>
              <w:jc w:val="both"/>
              <w:rPr>
                <w:highlight w:val="none"/>
              </w:rPr>
            </w:pPr>
            <w:r>
              <w:rPr>
                <w:rFonts w:ascii="仿宋_GB2312" w:hAnsi="仿宋_GB2312" w:eastAsia="仿宋_GB2312" w:cs="仿宋_GB2312"/>
                <w:color w:val="000000"/>
                <w:sz w:val="24"/>
                <w:highlight w:val="none"/>
              </w:rPr>
              <w:t>施工馆</w:t>
            </w:r>
          </w:p>
        </w:tc>
        <w:tc>
          <w:tcPr>
            <w:tcW w:w="1410" w:type="dxa"/>
            <w:tcBorders>
              <w:top w:val="nil"/>
              <w:left w:val="nil"/>
              <w:bottom w:val="single" w:color="000000" w:sz="4" w:space="0"/>
              <w:right w:val="single" w:color="000000" w:sz="4" w:space="0"/>
            </w:tcBorders>
            <w:tcMar>
              <w:top w:w="0" w:type="dxa"/>
              <w:left w:w="90" w:type="dxa"/>
              <w:bottom w:w="0" w:type="dxa"/>
              <w:right w:w="90" w:type="dxa"/>
            </w:tcMar>
            <w:vAlign w:val="top"/>
          </w:tcPr>
          <w:p w14:paraId="06F0A117">
            <w:pPr>
              <w:pStyle w:val="4"/>
              <w:spacing w:after="120"/>
              <w:ind w:firstLine="380"/>
              <w:jc w:val="both"/>
              <w:rPr>
                <w:highlight w:val="none"/>
              </w:rPr>
            </w:pPr>
            <w:r>
              <w:rPr>
                <w:rFonts w:ascii="仿宋_GB2312" w:hAnsi="仿宋_GB2312" w:eastAsia="仿宋_GB2312" w:cs="仿宋_GB2312"/>
                <w:color w:val="000000"/>
                <w:sz w:val="24"/>
                <w:highlight w:val="none"/>
              </w:rPr>
              <w:t>实验实训室</w:t>
            </w:r>
          </w:p>
        </w:tc>
        <w:tc>
          <w:tcPr>
            <w:tcW w:w="620" w:type="dxa"/>
            <w:tcBorders>
              <w:top w:val="nil"/>
              <w:left w:val="nil"/>
              <w:bottom w:val="single" w:color="000000" w:sz="4" w:space="0"/>
              <w:right w:val="single" w:color="000000" w:sz="4" w:space="0"/>
            </w:tcBorders>
            <w:tcMar>
              <w:top w:w="0" w:type="dxa"/>
              <w:left w:w="90" w:type="dxa"/>
              <w:bottom w:w="0" w:type="dxa"/>
              <w:right w:w="90" w:type="dxa"/>
            </w:tcMar>
            <w:vAlign w:val="top"/>
          </w:tcPr>
          <w:p w14:paraId="061CBBDD">
            <w:pPr>
              <w:pStyle w:val="4"/>
              <w:ind w:firstLine="380"/>
              <w:jc w:val="both"/>
              <w:rPr>
                <w:highlight w:val="none"/>
              </w:rPr>
            </w:pPr>
            <w:r>
              <w:rPr>
                <w:rFonts w:ascii="仿宋_GB2312" w:hAnsi="仿宋_GB2312" w:eastAsia="仿宋_GB2312" w:cs="仿宋_GB2312"/>
                <w:color w:val="000000"/>
                <w:sz w:val="24"/>
                <w:highlight w:val="none"/>
              </w:rPr>
              <w:t>1</w:t>
            </w:r>
          </w:p>
        </w:tc>
        <w:tc>
          <w:tcPr>
            <w:tcW w:w="1255" w:type="dxa"/>
            <w:tcBorders>
              <w:top w:val="nil"/>
              <w:left w:val="nil"/>
              <w:bottom w:val="single" w:color="000000" w:sz="4" w:space="0"/>
              <w:right w:val="single" w:color="000000" w:sz="4" w:space="0"/>
            </w:tcBorders>
            <w:tcMar>
              <w:top w:w="0" w:type="dxa"/>
              <w:left w:w="90" w:type="dxa"/>
              <w:bottom w:w="0" w:type="dxa"/>
              <w:right w:w="90" w:type="dxa"/>
            </w:tcMar>
            <w:vAlign w:val="top"/>
          </w:tcPr>
          <w:p w14:paraId="27BDCFC0">
            <w:pPr>
              <w:pStyle w:val="4"/>
              <w:spacing w:after="120"/>
              <w:ind w:firstLine="380"/>
              <w:jc w:val="both"/>
              <w:rPr>
                <w:highlight w:val="none"/>
              </w:rPr>
            </w:pPr>
            <w:r>
              <w:rPr>
                <w:rFonts w:ascii="仿宋_GB2312" w:hAnsi="仿宋_GB2312" w:eastAsia="仿宋_GB2312" w:cs="仿宋_GB2312"/>
                <w:color w:val="000000"/>
                <w:sz w:val="24"/>
                <w:highlight w:val="none"/>
              </w:rPr>
              <w:t>2800</w:t>
            </w:r>
          </w:p>
        </w:tc>
      </w:tr>
      <w:tr w14:paraId="32AACA9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51FBEB46">
            <w:pPr>
              <w:pStyle w:val="4"/>
              <w:spacing w:after="120"/>
              <w:ind w:firstLine="380"/>
              <w:jc w:val="both"/>
              <w:rPr>
                <w:highlight w:val="none"/>
              </w:rPr>
            </w:pPr>
            <w:r>
              <w:rPr>
                <w:rFonts w:ascii="仿宋_GB2312" w:hAnsi="仿宋_GB2312" w:eastAsia="仿宋_GB2312" w:cs="仿宋_GB2312"/>
                <w:color w:val="000000"/>
                <w:sz w:val="24"/>
                <w:highlight w:val="none"/>
              </w:rPr>
              <w:t>7</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5D5C806B">
            <w:pPr>
              <w:pStyle w:val="4"/>
              <w:spacing w:after="120"/>
              <w:ind w:firstLine="380"/>
              <w:jc w:val="both"/>
              <w:rPr>
                <w:highlight w:val="none"/>
              </w:rPr>
            </w:pPr>
            <w:r>
              <w:rPr>
                <w:rFonts w:ascii="仿宋_GB2312" w:hAnsi="仿宋_GB2312" w:eastAsia="仿宋_GB2312" w:cs="仿宋_GB2312"/>
                <w:color w:val="000000"/>
                <w:sz w:val="24"/>
                <w:highlight w:val="none"/>
              </w:rPr>
              <w:t>学生宿舍楼</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2338D3A2">
            <w:pPr>
              <w:pStyle w:val="4"/>
              <w:spacing w:after="120"/>
              <w:ind w:firstLine="380"/>
              <w:jc w:val="both"/>
              <w:rPr>
                <w:highlight w:val="none"/>
              </w:rPr>
            </w:pPr>
            <w:r>
              <w:rPr>
                <w:rFonts w:ascii="仿宋_GB2312" w:hAnsi="仿宋_GB2312" w:eastAsia="仿宋_GB2312" w:cs="仿宋_GB2312"/>
                <w:color w:val="000000"/>
                <w:sz w:val="24"/>
                <w:highlight w:val="none"/>
              </w:rPr>
              <w:t>5</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14F61CE3">
            <w:pPr>
              <w:pStyle w:val="4"/>
              <w:spacing w:after="120"/>
              <w:ind w:firstLine="380"/>
              <w:jc w:val="both"/>
              <w:rPr>
                <w:highlight w:val="none"/>
              </w:rPr>
            </w:pPr>
            <w:r>
              <w:rPr>
                <w:rFonts w:ascii="仿宋_GB2312" w:hAnsi="仿宋_GB2312" w:eastAsia="仿宋_GB2312" w:cs="仿宋_GB2312"/>
                <w:color w:val="000000"/>
                <w:sz w:val="24"/>
                <w:highlight w:val="none"/>
              </w:rPr>
              <w:t>1846</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4D569A62">
            <w:pPr>
              <w:pStyle w:val="4"/>
              <w:spacing w:after="120"/>
              <w:ind w:firstLine="380"/>
              <w:jc w:val="both"/>
              <w:rPr>
                <w:highlight w:val="none"/>
              </w:rPr>
            </w:pPr>
          </w:p>
        </w:tc>
        <w:tc>
          <w:tcPr>
            <w:tcW w:w="1410" w:type="dxa"/>
            <w:tcBorders>
              <w:top w:val="nil"/>
              <w:left w:val="nil"/>
              <w:bottom w:val="single" w:color="000000" w:sz="4" w:space="0"/>
              <w:right w:val="single" w:color="000000" w:sz="4" w:space="0"/>
            </w:tcBorders>
            <w:tcMar>
              <w:top w:w="0" w:type="dxa"/>
              <w:left w:w="90" w:type="dxa"/>
              <w:bottom w:w="0" w:type="dxa"/>
              <w:right w:w="90" w:type="dxa"/>
            </w:tcMar>
            <w:vAlign w:val="top"/>
          </w:tcPr>
          <w:p w14:paraId="08A8F360">
            <w:pPr>
              <w:rPr>
                <w:highlight w:val="none"/>
              </w:rPr>
            </w:pPr>
          </w:p>
        </w:tc>
        <w:tc>
          <w:tcPr>
            <w:tcW w:w="620" w:type="dxa"/>
            <w:tcBorders>
              <w:top w:val="nil"/>
              <w:left w:val="nil"/>
              <w:bottom w:val="single" w:color="000000" w:sz="4" w:space="0"/>
              <w:right w:val="single" w:color="000000" w:sz="4" w:space="0"/>
            </w:tcBorders>
            <w:tcMar>
              <w:top w:w="0" w:type="dxa"/>
              <w:left w:w="90" w:type="dxa"/>
              <w:bottom w:w="0" w:type="dxa"/>
              <w:right w:w="90" w:type="dxa"/>
            </w:tcMar>
            <w:vAlign w:val="top"/>
          </w:tcPr>
          <w:p w14:paraId="14C70975">
            <w:pPr>
              <w:rPr>
                <w:highlight w:val="none"/>
              </w:rPr>
            </w:pPr>
          </w:p>
        </w:tc>
        <w:tc>
          <w:tcPr>
            <w:tcW w:w="1255" w:type="dxa"/>
            <w:tcBorders>
              <w:top w:val="nil"/>
              <w:left w:val="nil"/>
              <w:bottom w:val="single" w:color="000000" w:sz="4" w:space="0"/>
              <w:right w:val="single" w:color="000000" w:sz="4" w:space="0"/>
            </w:tcBorders>
            <w:tcMar>
              <w:top w:w="0" w:type="dxa"/>
              <w:left w:w="90" w:type="dxa"/>
              <w:bottom w:w="0" w:type="dxa"/>
              <w:right w:w="90" w:type="dxa"/>
            </w:tcMar>
            <w:vAlign w:val="top"/>
          </w:tcPr>
          <w:p w14:paraId="5B79FF22">
            <w:pPr>
              <w:rPr>
                <w:highlight w:val="none"/>
              </w:rPr>
            </w:pPr>
          </w:p>
        </w:tc>
      </w:tr>
      <w:tr w14:paraId="7E1A675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23417DA4">
            <w:pPr>
              <w:pStyle w:val="4"/>
              <w:jc w:val="both"/>
              <w:rPr>
                <w:highlight w:val="none"/>
              </w:rPr>
            </w:pPr>
            <w:r>
              <w:rPr>
                <w:rFonts w:ascii="仿宋_GB2312" w:hAnsi="仿宋_GB2312" w:eastAsia="仿宋_GB2312" w:cs="仿宋_GB2312"/>
                <w:color w:val="000000"/>
                <w:sz w:val="24"/>
                <w:highlight w:val="none"/>
              </w:rPr>
              <w:t>8</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6C45CCF1">
            <w:pPr>
              <w:pStyle w:val="4"/>
              <w:spacing w:after="120"/>
              <w:ind w:firstLine="380"/>
              <w:jc w:val="both"/>
              <w:rPr>
                <w:highlight w:val="none"/>
              </w:rPr>
            </w:pPr>
            <w:r>
              <w:rPr>
                <w:rFonts w:ascii="仿宋_GB2312" w:hAnsi="仿宋_GB2312" w:eastAsia="仿宋_GB2312" w:cs="仿宋_GB2312"/>
                <w:color w:val="000000"/>
                <w:sz w:val="24"/>
                <w:highlight w:val="none"/>
              </w:rPr>
              <w:t>学生宿舍楼</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64499DE6">
            <w:pPr>
              <w:pStyle w:val="4"/>
              <w:spacing w:after="120"/>
              <w:ind w:firstLine="380"/>
              <w:jc w:val="both"/>
              <w:rPr>
                <w:highlight w:val="none"/>
              </w:rPr>
            </w:pPr>
            <w:r>
              <w:rPr>
                <w:rFonts w:ascii="仿宋_GB2312" w:hAnsi="仿宋_GB2312" w:eastAsia="仿宋_GB2312" w:cs="仿宋_GB2312"/>
                <w:color w:val="000000"/>
                <w:sz w:val="24"/>
                <w:highlight w:val="none"/>
              </w:rPr>
              <w:t>5</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175818B7">
            <w:pPr>
              <w:pStyle w:val="4"/>
              <w:spacing w:after="120"/>
              <w:ind w:firstLine="380"/>
              <w:jc w:val="both"/>
              <w:rPr>
                <w:highlight w:val="none"/>
              </w:rPr>
            </w:pPr>
            <w:r>
              <w:rPr>
                <w:rFonts w:ascii="仿宋_GB2312" w:hAnsi="仿宋_GB2312" w:eastAsia="仿宋_GB2312" w:cs="仿宋_GB2312"/>
                <w:color w:val="000000"/>
                <w:sz w:val="24"/>
                <w:highlight w:val="none"/>
              </w:rPr>
              <w:t>750</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70085625">
            <w:pPr>
              <w:pStyle w:val="4"/>
              <w:spacing w:after="120"/>
              <w:ind w:firstLine="380"/>
              <w:jc w:val="both"/>
              <w:rPr>
                <w:highlight w:val="none"/>
              </w:rPr>
            </w:pPr>
          </w:p>
        </w:tc>
        <w:tc>
          <w:tcPr>
            <w:tcW w:w="1410" w:type="dxa"/>
            <w:tcBorders>
              <w:top w:val="nil"/>
              <w:left w:val="nil"/>
              <w:bottom w:val="single" w:color="000000" w:sz="4" w:space="0"/>
              <w:right w:val="single" w:color="000000" w:sz="4" w:space="0"/>
            </w:tcBorders>
            <w:tcMar>
              <w:top w:w="0" w:type="dxa"/>
              <w:left w:w="90" w:type="dxa"/>
              <w:bottom w:w="0" w:type="dxa"/>
              <w:right w:w="90" w:type="dxa"/>
            </w:tcMar>
            <w:vAlign w:val="top"/>
          </w:tcPr>
          <w:p w14:paraId="7F752950">
            <w:pPr>
              <w:rPr>
                <w:highlight w:val="none"/>
              </w:rPr>
            </w:pPr>
          </w:p>
        </w:tc>
        <w:tc>
          <w:tcPr>
            <w:tcW w:w="620" w:type="dxa"/>
            <w:tcBorders>
              <w:top w:val="nil"/>
              <w:left w:val="nil"/>
              <w:bottom w:val="single" w:color="000000" w:sz="4" w:space="0"/>
              <w:right w:val="single" w:color="000000" w:sz="4" w:space="0"/>
            </w:tcBorders>
            <w:tcMar>
              <w:top w:w="0" w:type="dxa"/>
              <w:left w:w="90" w:type="dxa"/>
              <w:bottom w:w="0" w:type="dxa"/>
              <w:right w:w="90" w:type="dxa"/>
            </w:tcMar>
            <w:vAlign w:val="top"/>
          </w:tcPr>
          <w:p w14:paraId="52368218">
            <w:pPr>
              <w:rPr>
                <w:highlight w:val="none"/>
              </w:rPr>
            </w:pPr>
          </w:p>
        </w:tc>
        <w:tc>
          <w:tcPr>
            <w:tcW w:w="1255" w:type="dxa"/>
            <w:tcBorders>
              <w:top w:val="nil"/>
              <w:left w:val="nil"/>
              <w:bottom w:val="single" w:color="000000" w:sz="4" w:space="0"/>
              <w:right w:val="single" w:color="000000" w:sz="4" w:space="0"/>
            </w:tcBorders>
            <w:tcMar>
              <w:top w:w="0" w:type="dxa"/>
              <w:left w:w="90" w:type="dxa"/>
              <w:bottom w:w="0" w:type="dxa"/>
              <w:right w:w="90" w:type="dxa"/>
            </w:tcMar>
            <w:vAlign w:val="top"/>
          </w:tcPr>
          <w:p w14:paraId="3DC4A5A1">
            <w:pPr>
              <w:rPr>
                <w:highlight w:val="none"/>
              </w:rPr>
            </w:pPr>
          </w:p>
        </w:tc>
      </w:tr>
      <w:tr w14:paraId="185A6F0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0B44BF0A">
            <w:pPr>
              <w:pStyle w:val="4"/>
              <w:jc w:val="both"/>
              <w:rPr>
                <w:highlight w:val="none"/>
              </w:rPr>
            </w:pPr>
            <w:r>
              <w:rPr>
                <w:rFonts w:ascii="仿宋_GB2312" w:hAnsi="仿宋_GB2312" w:eastAsia="仿宋_GB2312" w:cs="仿宋_GB2312"/>
                <w:color w:val="000000"/>
                <w:sz w:val="24"/>
                <w:highlight w:val="none"/>
              </w:rPr>
              <w:t>9</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6A0425D1">
            <w:pPr>
              <w:pStyle w:val="4"/>
              <w:spacing w:after="120"/>
              <w:ind w:firstLine="380"/>
              <w:jc w:val="both"/>
              <w:rPr>
                <w:highlight w:val="none"/>
              </w:rPr>
            </w:pPr>
            <w:r>
              <w:rPr>
                <w:rFonts w:ascii="仿宋_GB2312" w:hAnsi="仿宋_GB2312" w:eastAsia="仿宋_GB2312" w:cs="仿宋_GB2312"/>
                <w:color w:val="000000"/>
                <w:sz w:val="24"/>
                <w:highlight w:val="none"/>
              </w:rPr>
              <w:t>学生宿舍楼</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235928F8">
            <w:pPr>
              <w:pStyle w:val="4"/>
              <w:spacing w:after="120"/>
              <w:ind w:firstLine="380"/>
              <w:jc w:val="both"/>
              <w:rPr>
                <w:highlight w:val="none"/>
              </w:rPr>
            </w:pPr>
            <w:r>
              <w:rPr>
                <w:rFonts w:ascii="仿宋_GB2312" w:hAnsi="仿宋_GB2312" w:eastAsia="仿宋_GB2312" w:cs="仿宋_GB2312"/>
                <w:color w:val="000000"/>
                <w:sz w:val="24"/>
                <w:highlight w:val="none"/>
              </w:rPr>
              <w:t>5</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56AF011A">
            <w:pPr>
              <w:pStyle w:val="4"/>
              <w:spacing w:after="120"/>
              <w:ind w:firstLine="380"/>
              <w:jc w:val="both"/>
              <w:rPr>
                <w:highlight w:val="none"/>
              </w:rPr>
            </w:pPr>
            <w:r>
              <w:rPr>
                <w:rFonts w:ascii="仿宋_GB2312" w:hAnsi="仿宋_GB2312" w:eastAsia="仿宋_GB2312" w:cs="仿宋_GB2312"/>
                <w:color w:val="000000"/>
                <w:sz w:val="24"/>
                <w:highlight w:val="none"/>
              </w:rPr>
              <w:t>787</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7E5679E1">
            <w:pPr>
              <w:pStyle w:val="4"/>
              <w:spacing w:after="120"/>
              <w:ind w:firstLine="380"/>
              <w:jc w:val="both"/>
              <w:rPr>
                <w:highlight w:val="none"/>
              </w:rPr>
            </w:pPr>
          </w:p>
        </w:tc>
        <w:tc>
          <w:tcPr>
            <w:tcW w:w="1410" w:type="dxa"/>
            <w:tcBorders>
              <w:top w:val="nil"/>
              <w:left w:val="nil"/>
              <w:bottom w:val="single" w:color="000000" w:sz="4" w:space="0"/>
              <w:right w:val="single" w:color="000000" w:sz="4" w:space="0"/>
            </w:tcBorders>
            <w:tcMar>
              <w:top w:w="0" w:type="dxa"/>
              <w:left w:w="90" w:type="dxa"/>
              <w:bottom w:w="0" w:type="dxa"/>
              <w:right w:w="90" w:type="dxa"/>
            </w:tcMar>
            <w:vAlign w:val="top"/>
          </w:tcPr>
          <w:p w14:paraId="05F3EAB4">
            <w:pPr>
              <w:rPr>
                <w:highlight w:val="none"/>
              </w:rPr>
            </w:pPr>
          </w:p>
        </w:tc>
        <w:tc>
          <w:tcPr>
            <w:tcW w:w="620" w:type="dxa"/>
            <w:tcBorders>
              <w:top w:val="nil"/>
              <w:left w:val="nil"/>
              <w:bottom w:val="single" w:color="000000" w:sz="4" w:space="0"/>
              <w:right w:val="single" w:color="000000" w:sz="4" w:space="0"/>
            </w:tcBorders>
            <w:tcMar>
              <w:top w:w="0" w:type="dxa"/>
              <w:left w:w="90" w:type="dxa"/>
              <w:bottom w:w="0" w:type="dxa"/>
              <w:right w:w="90" w:type="dxa"/>
            </w:tcMar>
            <w:vAlign w:val="top"/>
          </w:tcPr>
          <w:p w14:paraId="5971B13A">
            <w:pPr>
              <w:rPr>
                <w:highlight w:val="none"/>
              </w:rPr>
            </w:pPr>
          </w:p>
        </w:tc>
        <w:tc>
          <w:tcPr>
            <w:tcW w:w="1255" w:type="dxa"/>
            <w:tcBorders>
              <w:top w:val="nil"/>
              <w:left w:val="nil"/>
              <w:bottom w:val="single" w:color="000000" w:sz="4" w:space="0"/>
              <w:right w:val="single" w:color="000000" w:sz="4" w:space="0"/>
            </w:tcBorders>
            <w:tcMar>
              <w:top w:w="0" w:type="dxa"/>
              <w:left w:w="90" w:type="dxa"/>
              <w:bottom w:w="0" w:type="dxa"/>
              <w:right w:w="90" w:type="dxa"/>
            </w:tcMar>
            <w:vAlign w:val="top"/>
          </w:tcPr>
          <w:p w14:paraId="1071F2AD">
            <w:pPr>
              <w:rPr>
                <w:highlight w:val="none"/>
              </w:rPr>
            </w:pPr>
          </w:p>
        </w:tc>
      </w:tr>
      <w:tr w14:paraId="6D42A07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3D0E4101">
            <w:pPr>
              <w:pStyle w:val="4"/>
              <w:jc w:val="both"/>
              <w:rPr>
                <w:highlight w:val="none"/>
              </w:rPr>
            </w:pPr>
            <w:r>
              <w:rPr>
                <w:rFonts w:ascii="仿宋_GB2312" w:hAnsi="仿宋_GB2312" w:eastAsia="仿宋_GB2312" w:cs="仿宋_GB2312"/>
                <w:color w:val="000000"/>
                <w:sz w:val="24"/>
                <w:highlight w:val="none"/>
              </w:rPr>
              <w:t>10</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5B172AD2">
            <w:pPr>
              <w:pStyle w:val="4"/>
              <w:spacing w:after="120"/>
              <w:ind w:firstLine="380"/>
              <w:jc w:val="both"/>
              <w:rPr>
                <w:highlight w:val="none"/>
              </w:rPr>
            </w:pPr>
            <w:r>
              <w:rPr>
                <w:rFonts w:ascii="仿宋_GB2312" w:hAnsi="仿宋_GB2312" w:eastAsia="仿宋_GB2312" w:cs="仿宋_GB2312"/>
                <w:color w:val="000000"/>
                <w:sz w:val="24"/>
                <w:highlight w:val="none"/>
              </w:rPr>
              <w:t>学生宿舍楼</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696DD7A9">
            <w:pPr>
              <w:pStyle w:val="4"/>
              <w:spacing w:after="120"/>
              <w:ind w:firstLine="380"/>
              <w:jc w:val="both"/>
              <w:rPr>
                <w:highlight w:val="none"/>
              </w:rPr>
            </w:pPr>
            <w:r>
              <w:rPr>
                <w:rFonts w:ascii="仿宋_GB2312" w:hAnsi="仿宋_GB2312" w:eastAsia="仿宋_GB2312" w:cs="仿宋_GB2312"/>
                <w:color w:val="000000"/>
                <w:sz w:val="24"/>
                <w:highlight w:val="none"/>
              </w:rPr>
              <w:t>5</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38CF1FC6">
            <w:pPr>
              <w:pStyle w:val="4"/>
              <w:spacing w:after="120"/>
              <w:ind w:firstLine="380"/>
              <w:jc w:val="both"/>
              <w:rPr>
                <w:highlight w:val="none"/>
              </w:rPr>
            </w:pPr>
            <w:r>
              <w:rPr>
                <w:rFonts w:ascii="仿宋_GB2312" w:hAnsi="仿宋_GB2312" w:eastAsia="仿宋_GB2312" w:cs="仿宋_GB2312"/>
                <w:color w:val="000000"/>
                <w:sz w:val="24"/>
                <w:highlight w:val="none"/>
              </w:rPr>
              <w:t>787</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22F18ACF">
            <w:pPr>
              <w:pStyle w:val="4"/>
              <w:spacing w:after="120"/>
              <w:ind w:firstLine="380"/>
              <w:jc w:val="both"/>
              <w:rPr>
                <w:highlight w:val="none"/>
              </w:rPr>
            </w:pPr>
          </w:p>
        </w:tc>
        <w:tc>
          <w:tcPr>
            <w:tcW w:w="1410" w:type="dxa"/>
            <w:tcBorders>
              <w:top w:val="nil"/>
              <w:left w:val="nil"/>
              <w:bottom w:val="single" w:color="000000" w:sz="4" w:space="0"/>
              <w:right w:val="single" w:color="000000" w:sz="4" w:space="0"/>
            </w:tcBorders>
            <w:tcMar>
              <w:top w:w="0" w:type="dxa"/>
              <w:left w:w="90" w:type="dxa"/>
              <w:bottom w:w="0" w:type="dxa"/>
              <w:right w:w="90" w:type="dxa"/>
            </w:tcMar>
            <w:vAlign w:val="top"/>
          </w:tcPr>
          <w:p w14:paraId="29F41F69">
            <w:pPr>
              <w:rPr>
                <w:highlight w:val="none"/>
              </w:rPr>
            </w:pPr>
          </w:p>
        </w:tc>
        <w:tc>
          <w:tcPr>
            <w:tcW w:w="620" w:type="dxa"/>
            <w:tcBorders>
              <w:top w:val="nil"/>
              <w:left w:val="nil"/>
              <w:bottom w:val="single" w:color="000000" w:sz="4" w:space="0"/>
              <w:right w:val="single" w:color="000000" w:sz="4" w:space="0"/>
            </w:tcBorders>
            <w:tcMar>
              <w:top w:w="0" w:type="dxa"/>
              <w:left w:w="90" w:type="dxa"/>
              <w:bottom w:w="0" w:type="dxa"/>
              <w:right w:w="90" w:type="dxa"/>
            </w:tcMar>
            <w:vAlign w:val="top"/>
          </w:tcPr>
          <w:p w14:paraId="75E2476E">
            <w:pPr>
              <w:rPr>
                <w:highlight w:val="none"/>
              </w:rPr>
            </w:pPr>
          </w:p>
        </w:tc>
        <w:tc>
          <w:tcPr>
            <w:tcW w:w="1255" w:type="dxa"/>
            <w:tcBorders>
              <w:top w:val="nil"/>
              <w:left w:val="nil"/>
              <w:bottom w:val="single" w:color="000000" w:sz="4" w:space="0"/>
              <w:right w:val="single" w:color="000000" w:sz="4" w:space="0"/>
            </w:tcBorders>
            <w:tcMar>
              <w:top w:w="0" w:type="dxa"/>
              <w:left w:w="90" w:type="dxa"/>
              <w:bottom w:w="0" w:type="dxa"/>
              <w:right w:w="90" w:type="dxa"/>
            </w:tcMar>
            <w:vAlign w:val="top"/>
          </w:tcPr>
          <w:p w14:paraId="2996B2A5">
            <w:pPr>
              <w:rPr>
                <w:highlight w:val="none"/>
              </w:rPr>
            </w:pPr>
          </w:p>
        </w:tc>
      </w:tr>
      <w:tr w14:paraId="008F3B6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2CC00BCA">
            <w:pPr>
              <w:pStyle w:val="4"/>
              <w:jc w:val="both"/>
              <w:rPr>
                <w:highlight w:val="none"/>
              </w:rPr>
            </w:pPr>
            <w:r>
              <w:rPr>
                <w:rFonts w:ascii="仿宋_GB2312" w:hAnsi="仿宋_GB2312" w:eastAsia="仿宋_GB2312" w:cs="仿宋_GB2312"/>
                <w:color w:val="000000"/>
                <w:sz w:val="24"/>
                <w:highlight w:val="none"/>
              </w:rPr>
              <w:t>11</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0C603DBE">
            <w:pPr>
              <w:pStyle w:val="4"/>
              <w:spacing w:after="120"/>
              <w:ind w:firstLine="380"/>
              <w:jc w:val="both"/>
              <w:rPr>
                <w:highlight w:val="none"/>
              </w:rPr>
            </w:pPr>
            <w:r>
              <w:rPr>
                <w:rFonts w:ascii="仿宋_GB2312" w:hAnsi="仿宋_GB2312" w:eastAsia="仿宋_GB2312" w:cs="仿宋_GB2312"/>
                <w:color w:val="000000"/>
                <w:sz w:val="24"/>
                <w:highlight w:val="none"/>
              </w:rPr>
              <w:t>学生宿舍楼</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5977E97A">
            <w:pPr>
              <w:pStyle w:val="4"/>
              <w:spacing w:after="120"/>
              <w:ind w:firstLine="380"/>
              <w:jc w:val="both"/>
              <w:rPr>
                <w:highlight w:val="none"/>
              </w:rPr>
            </w:pPr>
            <w:r>
              <w:rPr>
                <w:rFonts w:ascii="仿宋_GB2312" w:hAnsi="仿宋_GB2312" w:eastAsia="仿宋_GB2312" w:cs="仿宋_GB2312"/>
                <w:color w:val="000000"/>
                <w:sz w:val="24"/>
                <w:highlight w:val="none"/>
              </w:rPr>
              <w:t>5</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78F3FF53">
            <w:pPr>
              <w:pStyle w:val="4"/>
              <w:spacing w:after="120"/>
              <w:ind w:firstLine="380"/>
              <w:jc w:val="both"/>
              <w:rPr>
                <w:highlight w:val="none"/>
              </w:rPr>
            </w:pPr>
            <w:r>
              <w:rPr>
                <w:rFonts w:ascii="仿宋_GB2312" w:hAnsi="仿宋_GB2312" w:eastAsia="仿宋_GB2312" w:cs="仿宋_GB2312"/>
                <w:color w:val="000000"/>
                <w:sz w:val="24"/>
                <w:highlight w:val="none"/>
              </w:rPr>
              <w:t>2030</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230D7108">
            <w:pPr>
              <w:pStyle w:val="4"/>
              <w:spacing w:after="120"/>
              <w:ind w:firstLine="380"/>
              <w:jc w:val="both"/>
              <w:rPr>
                <w:highlight w:val="none"/>
              </w:rPr>
            </w:pPr>
          </w:p>
        </w:tc>
        <w:tc>
          <w:tcPr>
            <w:tcW w:w="1410" w:type="dxa"/>
            <w:tcBorders>
              <w:top w:val="nil"/>
              <w:left w:val="nil"/>
              <w:bottom w:val="single" w:color="000000" w:sz="4" w:space="0"/>
              <w:right w:val="single" w:color="000000" w:sz="4" w:space="0"/>
            </w:tcBorders>
            <w:tcMar>
              <w:top w:w="0" w:type="dxa"/>
              <w:left w:w="90" w:type="dxa"/>
              <w:bottom w:w="0" w:type="dxa"/>
              <w:right w:w="90" w:type="dxa"/>
            </w:tcMar>
            <w:vAlign w:val="top"/>
          </w:tcPr>
          <w:p w14:paraId="44D2F436">
            <w:pPr>
              <w:rPr>
                <w:highlight w:val="none"/>
              </w:rPr>
            </w:pPr>
          </w:p>
        </w:tc>
        <w:tc>
          <w:tcPr>
            <w:tcW w:w="620" w:type="dxa"/>
            <w:tcBorders>
              <w:top w:val="nil"/>
              <w:left w:val="nil"/>
              <w:bottom w:val="single" w:color="000000" w:sz="4" w:space="0"/>
              <w:right w:val="single" w:color="000000" w:sz="4" w:space="0"/>
            </w:tcBorders>
            <w:tcMar>
              <w:top w:w="0" w:type="dxa"/>
              <w:left w:w="90" w:type="dxa"/>
              <w:bottom w:w="0" w:type="dxa"/>
              <w:right w:w="90" w:type="dxa"/>
            </w:tcMar>
            <w:vAlign w:val="top"/>
          </w:tcPr>
          <w:p w14:paraId="7F331C2F">
            <w:pPr>
              <w:rPr>
                <w:highlight w:val="none"/>
              </w:rPr>
            </w:pPr>
          </w:p>
        </w:tc>
        <w:tc>
          <w:tcPr>
            <w:tcW w:w="1255" w:type="dxa"/>
            <w:tcBorders>
              <w:top w:val="nil"/>
              <w:left w:val="nil"/>
              <w:bottom w:val="single" w:color="000000" w:sz="4" w:space="0"/>
              <w:right w:val="single" w:color="000000" w:sz="4" w:space="0"/>
            </w:tcBorders>
            <w:tcMar>
              <w:top w:w="0" w:type="dxa"/>
              <w:left w:w="90" w:type="dxa"/>
              <w:bottom w:w="0" w:type="dxa"/>
              <w:right w:w="90" w:type="dxa"/>
            </w:tcMar>
            <w:vAlign w:val="top"/>
          </w:tcPr>
          <w:p w14:paraId="4BC9CB0E">
            <w:pPr>
              <w:rPr>
                <w:highlight w:val="none"/>
              </w:rPr>
            </w:pPr>
          </w:p>
        </w:tc>
      </w:tr>
      <w:tr w14:paraId="7FF83A3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3B3D6087">
            <w:pPr>
              <w:pStyle w:val="4"/>
              <w:jc w:val="both"/>
              <w:rPr>
                <w:highlight w:val="none"/>
              </w:rPr>
            </w:pPr>
            <w:r>
              <w:rPr>
                <w:rFonts w:ascii="仿宋_GB2312" w:hAnsi="仿宋_GB2312" w:eastAsia="仿宋_GB2312" w:cs="仿宋_GB2312"/>
                <w:color w:val="000000"/>
                <w:sz w:val="24"/>
                <w:highlight w:val="none"/>
              </w:rPr>
              <w:t>-</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3C3477F2">
            <w:pPr>
              <w:pStyle w:val="4"/>
              <w:spacing w:after="120"/>
              <w:ind w:firstLine="380"/>
              <w:jc w:val="both"/>
              <w:rPr>
                <w:highlight w:val="none"/>
              </w:rPr>
            </w:pPr>
            <w:r>
              <w:rPr>
                <w:rFonts w:ascii="仿宋_GB2312" w:hAnsi="仿宋_GB2312" w:eastAsia="仿宋_GB2312" w:cs="仿宋_GB2312"/>
                <w:color w:val="000000"/>
                <w:sz w:val="24"/>
                <w:highlight w:val="none"/>
              </w:rPr>
              <w:t>福航园田径场</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349E38C1">
            <w:pPr>
              <w:pStyle w:val="4"/>
              <w:spacing w:after="120"/>
              <w:ind w:firstLine="380"/>
              <w:jc w:val="both"/>
              <w:rPr>
                <w:highlight w:val="none"/>
              </w:rPr>
            </w:pP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61E6FDA0">
            <w:pPr>
              <w:pStyle w:val="4"/>
              <w:jc w:val="both"/>
              <w:rPr>
                <w:highlight w:val="none"/>
              </w:rPr>
            </w:pPr>
            <w:r>
              <w:rPr>
                <w:rFonts w:ascii="仿宋_GB2312" w:hAnsi="仿宋_GB2312" w:eastAsia="仿宋_GB2312" w:cs="仿宋_GB2312"/>
                <w:color w:val="000000"/>
                <w:sz w:val="24"/>
                <w:highlight w:val="none"/>
              </w:rPr>
              <w:t>300米跑道</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5532AB97">
            <w:pPr>
              <w:pStyle w:val="4"/>
              <w:ind w:firstLine="380"/>
              <w:jc w:val="both"/>
              <w:rPr>
                <w:highlight w:val="none"/>
              </w:rPr>
            </w:pPr>
          </w:p>
        </w:tc>
        <w:tc>
          <w:tcPr>
            <w:tcW w:w="1410" w:type="dxa"/>
            <w:tcBorders>
              <w:top w:val="nil"/>
              <w:left w:val="nil"/>
              <w:bottom w:val="single" w:color="000000" w:sz="4" w:space="0"/>
              <w:right w:val="single" w:color="000000" w:sz="4" w:space="0"/>
            </w:tcBorders>
            <w:tcMar>
              <w:top w:w="0" w:type="dxa"/>
              <w:left w:w="90" w:type="dxa"/>
              <w:bottom w:w="0" w:type="dxa"/>
              <w:right w:w="90" w:type="dxa"/>
            </w:tcMar>
            <w:vAlign w:val="top"/>
          </w:tcPr>
          <w:p w14:paraId="2A8597EC">
            <w:pPr>
              <w:rPr>
                <w:highlight w:val="none"/>
              </w:rPr>
            </w:pPr>
          </w:p>
        </w:tc>
        <w:tc>
          <w:tcPr>
            <w:tcW w:w="620" w:type="dxa"/>
            <w:tcBorders>
              <w:top w:val="nil"/>
              <w:left w:val="nil"/>
              <w:bottom w:val="single" w:color="000000" w:sz="4" w:space="0"/>
              <w:right w:val="single" w:color="000000" w:sz="4" w:space="0"/>
            </w:tcBorders>
            <w:tcMar>
              <w:top w:w="0" w:type="dxa"/>
              <w:left w:w="90" w:type="dxa"/>
              <w:bottom w:w="0" w:type="dxa"/>
              <w:right w:w="90" w:type="dxa"/>
            </w:tcMar>
            <w:vAlign w:val="top"/>
          </w:tcPr>
          <w:p w14:paraId="0205AF6C">
            <w:pPr>
              <w:rPr>
                <w:highlight w:val="none"/>
              </w:rPr>
            </w:pPr>
          </w:p>
        </w:tc>
        <w:tc>
          <w:tcPr>
            <w:tcW w:w="1255" w:type="dxa"/>
            <w:tcBorders>
              <w:top w:val="nil"/>
              <w:left w:val="nil"/>
              <w:bottom w:val="single" w:color="000000" w:sz="4" w:space="0"/>
              <w:right w:val="single" w:color="000000" w:sz="4" w:space="0"/>
            </w:tcBorders>
            <w:tcMar>
              <w:top w:w="0" w:type="dxa"/>
              <w:left w:w="90" w:type="dxa"/>
              <w:bottom w:w="0" w:type="dxa"/>
              <w:right w:w="90" w:type="dxa"/>
            </w:tcMar>
            <w:vAlign w:val="top"/>
          </w:tcPr>
          <w:p w14:paraId="12F75739">
            <w:pPr>
              <w:rPr>
                <w:highlight w:val="none"/>
              </w:rPr>
            </w:pPr>
          </w:p>
        </w:tc>
      </w:tr>
      <w:tr w14:paraId="0833809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246" w:type="dxa"/>
            <w:gridSpan w:val="8"/>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49E77708">
            <w:pPr>
              <w:pStyle w:val="4"/>
              <w:jc w:val="both"/>
              <w:rPr>
                <w:highlight w:val="none"/>
              </w:rPr>
            </w:pPr>
            <w:r>
              <w:rPr>
                <w:rFonts w:ascii="仿宋_GB2312" w:hAnsi="仿宋_GB2312" w:eastAsia="仿宋_GB2312" w:cs="仿宋_GB2312"/>
                <w:b/>
                <w:color w:val="000000"/>
                <w:sz w:val="24"/>
                <w:highlight w:val="none"/>
              </w:rPr>
              <w:t>长安校区</w:t>
            </w:r>
          </w:p>
        </w:tc>
      </w:tr>
      <w:tr w14:paraId="1DF537A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709994D7">
            <w:pPr>
              <w:pStyle w:val="4"/>
              <w:spacing w:after="120"/>
              <w:ind w:firstLine="380"/>
              <w:jc w:val="both"/>
              <w:rPr>
                <w:highlight w:val="none"/>
              </w:rPr>
            </w:pPr>
            <w:r>
              <w:rPr>
                <w:rFonts w:ascii="仿宋_GB2312" w:hAnsi="仿宋_GB2312" w:eastAsia="仿宋_GB2312" w:cs="仿宋_GB2312"/>
                <w:color w:val="000000"/>
                <w:sz w:val="24"/>
                <w:highlight w:val="none"/>
              </w:rPr>
              <w:t>1</w:t>
            </w:r>
          </w:p>
        </w:tc>
        <w:tc>
          <w:tcPr>
            <w:tcW w:w="1339" w:type="dxa"/>
            <w:tcBorders>
              <w:top w:val="single" w:color="000000" w:sz="4" w:space="0"/>
              <w:left w:val="nil"/>
              <w:bottom w:val="single" w:color="000000" w:sz="4" w:space="0"/>
              <w:right w:val="single" w:color="000000" w:sz="4" w:space="0"/>
            </w:tcBorders>
            <w:tcMar>
              <w:top w:w="0" w:type="dxa"/>
              <w:left w:w="90" w:type="dxa"/>
              <w:bottom w:w="0" w:type="dxa"/>
              <w:right w:w="90" w:type="dxa"/>
            </w:tcMar>
            <w:vAlign w:val="top"/>
          </w:tcPr>
          <w:p w14:paraId="50AD294F">
            <w:pPr>
              <w:pStyle w:val="4"/>
              <w:spacing w:after="120"/>
              <w:ind w:firstLine="380"/>
              <w:jc w:val="both"/>
              <w:rPr>
                <w:highlight w:val="none"/>
              </w:rPr>
            </w:pPr>
            <w:r>
              <w:rPr>
                <w:rFonts w:ascii="仿宋_GB2312" w:hAnsi="仿宋_GB2312" w:eastAsia="仿宋_GB2312" w:cs="仿宋_GB2312"/>
                <w:color w:val="000000"/>
                <w:sz w:val="24"/>
                <w:highlight w:val="none"/>
              </w:rPr>
              <w:t>学生宿舍楼</w:t>
            </w:r>
          </w:p>
        </w:tc>
        <w:tc>
          <w:tcPr>
            <w:tcW w:w="634" w:type="dxa"/>
            <w:tcBorders>
              <w:top w:val="single" w:color="000000" w:sz="4" w:space="0"/>
              <w:left w:val="nil"/>
              <w:bottom w:val="single" w:color="000000" w:sz="4" w:space="0"/>
              <w:right w:val="single" w:color="000000" w:sz="4" w:space="0"/>
            </w:tcBorders>
            <w:tcMar>
              <w:top w:w="0" w:type="dxa"/>
              <w:left w:w="90" w:type="dxa"/>
              <w:bottom w:w="0" w:type="dxa"/>
              <w:right w:w="90" w:type="dxa"/>
            </w:tcMar>
            <w:vAlign w:val="top"/>
          </w:tcPr>
          <w:p w14:paraId="5DF272B8">
            <w:pPr>
              <w:pStyle w:val="4"/>
              <w:spacing w:after="120"/>
              <w:ind w:firstLine="380"/>
              <w:jc w:val="both"/>
              <w:rPr>
                <w:highlight w:val="none"/>
              </w:rPr>
            </w:pPr>
            <w:r>
              <w:rPr>
                <w:rFonts w:ascii="仿宋_GB2312" w:hAnsi="仿宋_GB2312" w:eastAsia="仿宋_GB2312" w:cs="仿宋_GB2312"/>
                <w:color w:val="000000"/>
                <w:sz w:val="24"/>
                <w:highlight w:val="none"/>
              </w:rPr>
              <w:t>5</w:t>
            </w:r>
          </w:p>
        </w:tc>
        <w:tc>
          <w:tcPr>
            <w:tcW w:w="1128" w:type="dxa"/>
            <w:tcBorders>
              <w:top w:val="single" w:color="000000" w:sz="4" w:space="0"/>
              <w:left w:val="nil"/>
              <w:bottom w:val="single" w:color="000000" w:sz="4" w:space="0"/>
              <w:right w:val="single" w:color="000000" w:sz="4" w:space="0"/>
            </w:tcBorders>
            <w:tcMar>
              <w:top w:w="0" w:type="dxa"/>
              <w:left w:w="90" w:type="dxa"/>
              <w:bottom w:w="0" w:type="dxa"/>
              <w:right w:w="90" w:type="dxa"/>
            </w:tcMar>
            <w:vAlign w:val="top"/>
          </w:tcPr>
          <w:p w14:paraId="2AD3B09E">
            <w:pPr>
              <w:pStyle w:val="4"/>
              <w:spacing w:after="120"/>
              <w:ind w:firstLine="380"/>
              <w:jc w:val="both"/>
              <w:rPr>
                <w:highlight w:val="none"/>
              </w:rPr>
            </w:pPr>
            <w:r>
              <w:rPr>
                <w:rFonts w:ascii="仿宋_GB2312" w:hAnsi="仿宋_GB2312" w:eastAsia="仿宋_GB2312" w:cs="仿宋_GB2312"/>
                <w:color w:val="000000"/>
                <w:sz w:val="24"/>
                <w:highlight w:val="none"/>
              </w:rPr>
              <w:t>3050</w:t>
            </w:r>
          </w:p>
        </w:tc>
        <w:tc>
          <w:tcPr>
            <w:tcW w:w="803" w:type="dxa"/>
            <w:tcBorders>
              <w:top w:val="single" w:color="000000" w:sz="4" w:space="0"/>
              <w:left w:val="nil"/>
              <w:bottom w:val="single" w:color="000000" w:sz="4" w:space="0"/>
              <w:right w:val="single" w:color="000000" w:sz="4" w:space="0"/>
            </w:tcBorders>
            <w:tcMar>
              <w:top w:w="0" w:type="dxa"/>
              <w:left w:w="90" w:type="dxa"/>
              <w:bottom w:w="0" w:type="dxa"/>
              <w:right w:w="90" w:type="dxa"/>
            </w:tcMar>
            <w:vAlign w:val="top"/>
          </w:tcPr>
          <w:p w14:paraId="7244249A">
            <w:pPr>
              <w:pStyle w:val="4"/>
              <w:spacing w:after="120"/>
              <w:ind w:firstLine="380"/>
              <w:jc w:val="both"/>
              <w:rPr>
                <w:highlight w:val="none"/>
              </w:rPr>
            </w:pPr>
            <w:r>
              <w:rPr>
                <w:rFonts w:ascii="仿宋_GB2312" w:hAnsi="仿宋_GB2312" w:eastAsia="仿宋_GB2312" w:cs="仿宋_GB2312"/>
                <w:color w:val="000000"/>
                <w:sz w:val="24"/>
                <w:highlight w:val="none"/>
              </w:rPr>
              <w:t>4</w:t>
            </w:r>
          </w:p>
        </w:tc>
        <w:tc>
          <w:tcPr>
            <w:tcW w:w="1410" w:type="dxa"/>
            <w:tcBorders>
              <w:top w:val="single" w:color="000000" w:sz="4" w:space="0"/>
              <w:left w:val="nil"/>
              <w:bottom w:val="single" w:color="000000" w:sz="4" w:space="0"/>
              <w:right w:val="single" w:color="000000" w:sz="4" w:space="0"/>
            </w:tcBorders>
            <w:tcMar>
              <w:top w:w="0" w:type="dxa"/>
              <w:left w:w="90" w:type="dxa"/>
              <w:bottom w:w="0" w:type="dxa"/>
              <w:right w:w="90" w:type="dxa"/>
            </w:tcMar>
            <w:vAlign w:val="top"/>
          </w:tcPr>
          <w:p w14:paraId="18338C47">
            <w:pPr>
              <w:pStyle w:val="4"/>
              <w:spacing w:after="120"/>
              <w:ind w:firstLine="380"/>
              <w:jc w:val="both"/>
              <w:rPr>
                <w:highlight w:val="none"/>
              </w:rPr>
            </w:pPr>
            <w:r>
              <w:rPr>
                <w:rFonts w:ascii="仿宋_GB2312" w:hAnsi="仿宋_GB2312" w:eastAsia="仿宋_GB2312" w:cs="仿宋_GB2312"/>
                <w:color w:val="000000"/>
                <w:sz w:val="24"/>
                <w:highlight w:val="none"/>
              </w:rPr>
              <w:t>学生宿舍楼</w:t>
            </w:r>
          </w:p>
        </w:tc>
        <w:tc>
          <w:tcPr>
            <w:tcW w:w="620" w:type="dxa"/>
            <w:tcBorders>
              <w:top w:val="single" w:color="000000" w:sz="4" w:space="0"/>
              <w:left w:val="nil"/>
              <w:bottom w:val="single" w:color="000000" w:sz="4" w:space="0"/>
              <w:right w:val="single" w:color="000000" w:sz="4" w:space="0"/>
            </w:tcBorders>
            <w:tcMar>
              <w:top w:w="0" w:type="dxa"/>
              <w:left w:w="90" w:type="dxa"/>
              <w:bottom w:w="0" w:type="dxa"/>
              <w:right w:w="90" w:type="dxa"/>
            </w:tcMar>
            <w:vAlign w:val="top"/>
          </w:tcPr>
          <w:p w14:paraId="46FE8FC9">
            <w:pPr>
              <w:pStyle w:val="4"/>
              <w:spacing w:after="120"/>
              <w:ind w:firstLine="380"/>
              <w:jc w:val="both"/>
              <w:rPr>
                <w:highlight w:val="none"/>
              </w:rPr>
            </w:pPr>
            <w:r>
              <w:rPr>
                <w:rFonts w:ascii="仿宋_GB2312" w:hAnsi="仿宋_GB2312" w:eastAsia="仿宋_GB2312" w:cs="仿宋_GB2312"/>
                <w:color w:val="000000"/>
                <w:sz w:val="24"/>
                <w:highlight w:val="none"/>
              </w:rPr>
              <w:t>4</w:t>
            </w:r>
          </w:p>
        </w:tc>
        <w:tc>
          <w:tcPr>
            <w:tcW w:w="1255" w:type="dxa"/>
            <w:tcBorders>
              <w:top w:val="single" w:color="000000" w:sz="4" w:space="0"/>
              <w:left w:val="nil"/>
              <w:bottom w:val="single" w:color="000000" w:sz="4" w:space="0"/>
              <w:right w:val="single" w:color="000000" w:sz="4" w:space="0"/>
            </w:tcBorders>
            <w:tcMar>
              <w:top w:w="0" w:type="dxa"/>
              <w:left w:w="90" w:type="dxa"/>
              <w:bottom w:w="0" w:type="dxa"/>
              <w:right w:w="90" w:type="dxa"/>
            </w:tcMar>
            <w:vAlign w:val="top"/>
          </w:tcPr>
          <w:p w14:paraId="6D626E08">
            <w:pPr>
              <w:pStyle w:val="4"/>
              <w:spacing w:after="120"/>
              <w:ind w:firstLine="380"/>
              <w:jc w:val="both"/>
              <w:rPr>
                <w:highlight w:val="none"/>
              </w:rPr>
            </w:pPr>
            <w:r>
              <w:rPr>
                <w:rFonts w:ascii="仿宋_GB2312" w:hAnsi="仿宋_GB2312" w:eastAsia="仿宋_GB2312" w:cs="仿宋_GB2312"/>
                <w:color w:val="000000"/>
                <w:sz w:val="24"/>
                <w:highlight w:val="none"/>
              </w:rPr>
              <w:t>2730</w:t>
            </w:r>
          </w:p>
        </w:tc>
      </w:tr>
      <w:tr w14:paraId="349DCA6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1657BF57">
            <w:pPr>
              <w:pStyle w:val="4"/>
              <w:spacing w:after="120"/>
              <w:ind w:firstLine="380"/>
              <w:jc w:val="both"/>
              <w:rPr>
                <w:highlight w:val="none"/>
              </w:rPr>
            </w:pPr>
            <w:r>
              <w:rPr>
                <w:rFonts w:ascii="仿宋_GB2312" w:hAnsi="仿宋_GB2312" w:eastAsia="仿宋_GB2312" w:cs="仿宋_GB2312"/>
                <w:color w:val="000000"/>
                <w:sz w:val="24"/>
                <w:highlight w:val="none"/>
              </w:rPr>
              <w:t>2</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08D03BBE">
            <w:pPr>
              <w:pStyle w:val="4"/>
              <w:spacing w:after="120"/>
              <w:ind w:firstLine="380"/>
              <w:jc w:val="both"/>
              <w:rPr>
                <w:highlight w:val="none"/>
              </w:rPr>
            </w:pPr>
            <w:r>
              <w:rPr>
                <w:rFonts w:ascii="仿宋_GB2312" w:hAnsi="仿宋_GB2312" w:eastAsia="仿宋_GB2312" w:cs="仿宋_GB2312"/>
                <w:color w:val="000000"/>
                <w:sz w:val="24"/>
                <w:highlight w:val="none"/>
              </w:rPr>
              <w:t>学生宿舍楼</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6E50DA34">
            <w:pPr>
              <w:pStyle w:val="4"/>
              <w:spacing w:after="120"/>
              <w:ind w:firstLine="380"/>
              <w:jc w:val="both"/>
              <w:rPr>
                <w:highlight w:val="none"/>
              </w:rPr>
            </w:pPr>
            <w:r>
              <w:rPr>
                <w:rFonts w:ascii="仿宋_GB2312" w:hAnsi="仿宋_GB2312" w:eastAsia="仿宋_GB2312" w:cs="仿宋_GB2312"/>
                <w:color w:val="000000"/>
                <w:sz w:val="24"/>
                <w:highlight w:val="none"/>
              </w:rPr>
              <w:t>6</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76C428C2">
            <w:pPr>
              <w:pStyle w:val="4"/>
              <w:spacing w:after="120"/>
              <w:ind w:firstLine="380"/>
              <w:jc w:val="both"/>
              <w:rPr>
                <w:highlight w:val="none"/>
              </w:rPr>
            </w:pPr>
            <w:r>
              <w:rPr>
                <w:rFonts w:ascii="仿宋_GB2312" w:hAnsi="仿宋_GB2312" w:eastAsia="仿宋_GB2312" w:cs="仿宋_GB2312"/>
                <w:color w:val="000000"/>
                <w:sz w:val="24"/>
                <w:highlight w:val="none"/>
              </w:rPr>
              <w:t>3220</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374B2A15">
            <w:pPr>
              <w:pStyle w:val="4"/>
              <w:spacing w:after="120"/>
              <w:ind w:firstLine="380"/>
              <w:jc w:val="both"/>
              <w:rPr>
                <w:highlight w:val="none"/>
              </w:rPr>
            </w:pPr>
            <w:r>
              <w:rPr>
                <w:rFonts w:ascii="仿宋_GB2312" w:hAnsi="仿宋_GB2312" w:eastAsia="仿宋_GB2312" w:cs="仿宋_GB2312"/>
                <w:color w:val="000000"/>
                <w:sz w:val="24"/>
                <w:highlight w:val="none"/>
              </w:rPr>
              <w:t>5</w:t>
            </w:r>
          </w:p>
        </w:tc>
        <w:tc>
          <w:tcPr>
            <w:tcW w:w="1410" w:type="dxa"/>
            <w:tcBorders>
              <w:top w:val="nil"/>
              <w:left w:val="nil"/>
              <w:bottom w:val="single" w:color="000000" w:sz="4" w:space="0"/>
              <w:right w:val="single" w:color="000000" w:sz="4" w:space="0"/>
            </w:tcBorders>
            <w:tcMar>
              <w:top w:w="0" w:type="dxa"/>
              <w:left w:w="90" w:type="dxa"/>
              <w:bottom w:w="0" w:type="dxa"/>
              <w:right w:w="90" w:type="dxa"/>
            </w:tcMar>
            <w:vAlign w:val="top"/>
          </w:tcPr>
          <w:p w14:paraId="440723E9">
            <w:pPr>
              <w:pStyle w:val="4"/>
              <w:spacing w:after="120"/>
              <w:ind w:firstLine="380"/>
              <w:jc w:val="both"/>
              <w:rPr>
                <w:highlight w:val="none"/>
              </w:rPr>
            </w:pPr>
            <w:r>
              <w:rPr>
                <w:rFonts w:ascii="仿宋_GB2312" w:hAnsi="仿宋_GB2312" w:eastAsia="仿宋_GB2312" w:cs="仿宋_GB2312"/>
                <w:color w:val="000000"/>
                <w:sz w:val="24"/>
                <w:highlight w:val="none"/>
              </w:rPr>
              <w:t>教工宿舍</w:t>
            </w:r>
          </w:p>
        </w:tc>
        <w:tc>
          <w:tcPr>
            <w:tcW w:w="620" w:type="dxa"/>
            <w:tcBorders>
              <w:top w:val="nil"/>
              <w:left w:val="nil"/>
              <w:bottom w:val="single" w:color="000000" w:sz="4" w:space="0"/>
              <w:right w:val="single" w:color="000000" w:sz="4" w:space="0"/>
            </w:tcBorders>
            <w:tcMar>
              <w:top w:w="0" w:type="dxa"/>
              <w:left w:w="90" w:type="dxa"/>
              <w:bottom w:w="0" w:type="dxa"/>
              <w:right w:w="90" w:type="dxa"/>
            </w:tcMar>
            <w:vAlign w:val="top"/>
          </w:tcPr>
          <w:p w14:paraId="4CAF5CF0">
            <w:pPr>
              <w:pStyle w:val="4"/>
              <w:spacing w:after="120"/>
              <w:ind w:firstLine="380"/>
              <w:jc w:val="both"/>
              <w:rPr>
                <w:highlight w:val="none"/>
              </w:rPr>
            </w:pPr>
            <w:r>
              <w:rPr>
                <w:rFonts w:ascii="仿宋_GB2312" w:hAnsi="仿宋_GB2312" w:eastAsia="仿宋_GB2312" w:cs="仿宋_GB2312"/>
                <w:color w:val="000000"/>
                <w:sz w:val="24"/>
                <w:highlight w:val="none"/>
              </w:rPr>
              <w:t>6</w:t>
            </w:r>
          </w:p>
        </w:tc>
        <w:tc>
          <w:tcPr>
            <w:tcW w:w="1255" w:type="dxa"/>
            <w:tcBorders>
              <w:top w:val="nil"/>
              <w:left w:val="nil"/>
              <w:bottom w:val="single" w:color="000000" w:sz="4" w:space="0"/>
              <w:right w:val="single" w:color="000000" w:sz="4" w:space="0"/>
            </w:tcBorders>
            <w:tcMar>
              <w:top w:w="0" w:type="dxa"/>
              <w:left w:w="90" w:type="dxa"/>
              <w:bottom w:w="0" w:type="dxa"/>
              <w:right w:w="90" w:type="dxa"/>
            </w:tcMar>
            <w:vAlign w:val="top"/>
          </w:tcPr>
          <w:p w14:paraId="7314C9BC">
            <w:pPr>
              <w:pStyle w:val="4"/>
              <w:spacing w:after="120"/>
              <w:ind w:firstLine="380"/>
              <w:jc w:val="both"/>
              <w:rPr>
                <w:highlight w:val="none"/>
              </w:rPr>
            </w:pPr>
            <w:r>
              <w:rPr>
                <w:rFonts w:ascii="仿宋_GB2312" w:hAnsi="仿宋_GB2312" w:eastAsia="仿宋_GB2312" w:cs="仿宋_GB2312"/>
                <w:color w:val="000000"/>
                <w:sz w:val="24"/>
                <w:highlight w:val="none"/>
              </w:rPr>
              <w:t>3456</w:t>
            </w:r>
          </w:p>
        </w:tc>
      </w:tr>
      <w:tr w14:paraId="27EE668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3BAD719D">
            <w:pPr>
              <w:pStyle w:val="4"/>
              <w:spacing w:after="120"/>
              <w:ind w:firstLine="380"/>
              <w:jc w:val="both"/>
              <w:rPr>
                <w:highlight w:val="none"/>
              </w:rPr>
            </w:pPr>
            <w:r>
              <w:rPr>
                <w:rFonts w:ascii="仿宋_GB2312" w:hAnsi="仿宋_GB2312" w:eastAsia="仿宋_GB2312" w:cs="仿宋_GB2312"/>
                <w:color w:val="000000"/>
                <w:sz w:val="24"/>
                <w:highlight w:val="none"/>
              </w:rPr>
              <w:t>3</w:t>
            </w:r>
          </w:p>
        </w:tc>
        <w:tc>
          <w:tcPr>
            <w:tcW w:w="1339" w:type="dxa"/>
            <w:tcBorders>
              <w:top w:val="nil"/>
              <w:left w:val="nil"/>
              <w:bottom w:val="single" w:color="000000" w:sz="4" w:space="0"/>
              <w:right w:val="single" w:color="000000" w:sz="4" w:space="0"/>
            </w:tcBorders>
            <w:tcMar>
              <w:top w:w="0" w:type="dxa"/>
              <w:left w:w="90" w:type="dxa"/>
              <w:bottom w:w="0" w:type="dxa"/>
              <w:right w:w="90" w:type="dxa"/>
            </w:tcMar>
            <w:vAlign w:val="top"/>
          </w:tcPr>
          <w:p w14:paraId="313ADF06">
            <w:pPr>
              <w:pStyle w:val="4"/>
              <w:spacing w:after="120"/>
              <w:ind w:firstLine="380"/>
              <w:jc w:val="both"/>
              <w:rPr>
                <w:highlight w:val="none"/>
              </w:rPr>
            </w:pPr>
            <w:r>
              <w:rPr>
                <w:rFonts w:ascii="仿宋_GB2312" w:hAnsi="仿宋_GB2312" w:eastAsia="仿宋_GB2312" w:cs="仿宋_GB2312"/>
                <w:color w:val="000000"/>
                <w:sz w:val="24"/>
                <w:highlight w:val="none"/>
              </w:rPr>
              <w:t>食堂、礼堂</w:t>
            </w:r>
          </w:p>
        </w:tc>
        <w:tc>
          <w:tcPr>
            <w:tcW w:w="634" w:type="dxa"/>
            <w:tcBorders>
              <w:top w:val="nil"/>
              <w:left w:val="nil"/>
              <w:bottom w:val="single" w:color="000000" w:sz="4" w:space="0"/>
              <w:right w:val="single" w:color="000000" w:sz="4" w:space="0"/>
            </w:tcBorders>
            <w:tcMar>
              <w:top w:w="0" w:type="dxa"/>
              <w:left w:w="90" w:type="dxa"/>
              <w:bottom w:w="0" w:type="dxa"/>
              <w:right w:w="90" w:type="dxa"/>
            </w:tcMar>
            <w:vAlign w:val="top"/>
          </w:tcPr>
          <w:p w14:paraId="52965F1E">
            <w:pPr>
              <w:pStyle w:val="4"/>
              <w:spacing w:after="120"/>
              <w:ind w:firstLine="380"/>
              <w:jc w:val="both"/>
              <w:rPr>
                <w:highlight w:val="none"/>
              </w:rPr>
            </w:pPr>
            <w:r>
              <w:rPr>
                <w:rFonts w:ascii="仿宋_GB2312" w:hAnsi="仿宋_GB2312" w:eastAsia="仿宋_GB2312" w:cs="仿宋_GB2312"/>
                <w:color w:val="000000"/>
                <w:sz w:val="24"/>
                <w:highlight w:val="none"/>
              </w:rPr>
              <w:t>3</w:t>
            </w:r>
          </w:p>
        </w:tc>
        <w:tc>
          <w:tcPr>
            <w:tcW w:w="1128" w:type="dxa"/>
            <w:tcBorders>
              <w:top w:val="nil"/>
              <w:left w:val="nil"/>
              <w:bottom w:val="single" w:color="000000" w:sz="4" w:space="0"/>
              <w:right w:val="single" w:color="000000" w:sz="4" w:space="0"/>
            </w:tcBorders>
            <w:tcMar>
              <w:top w:w="0" w:type="dxa"/>
              <w:left w:w="90" w:type="dxa"/>
              <w:bottom w:w="0" w:type="dxa"/>
              <w:right w:w="90" w:type="dxa"/>
            </w:tcMar>
            <w:vAlign w:val="top"/>
          </w:tcPr>
          <w:p w14:paraId="7BAE56C0">
            <w:pPr>
              <w:pStyle w:val="4"/>
              <w:spacing w:after="120"/>
              <w:ind w:firstLine="380"/>
              <w:jc w:val="both"/>
              <w:rPr>
                <w:highlight w:val="none"/>
              </w:rPr>
            </w:pPr>
            <w:r>
              <w:rPr>
                <w:rFonts w:ascii="仿宋_GB2312" w:hAnsi="仿宋_GB2312" w:eastAsia="仿宋_GB2312" w:cs="仿宋_GB2312"/>
                <w:color w:val="000000"/>
                <w:sz w:val="24"/>
                <w:highlight w:val="none"/>
              </w:rPr>
              <w:t>1660</w:t>
            </w:r>
          </w:p>
        </w:tc>
        <w:tc>
          <w:tcPr>
            <w:tcW w:w="803" w:type="dxa"/>
            <w:tcBorders>
              <w:top w:val="nil"/>
              <w:left w:val="nil"/>
              <w:bottom w:val="single" w:color="000000" w:sz="4" w:space="0"/>
              <w:right w:val="single" w:color="000000" w:sz="4" w:space="0"/>
            </w:tcBorders>
            <w:tcMar>
              <w:top w:w="0" w:type="dxa"/>
              <w:left w:w="90" w:type="dxa"/>
              <w:bottom w:w="0" w:type="dxa"/>
              <w:right w:w="90" w:type="dxa"/>
            </w:tcMar>
            <w:vAlign w:val="top"/>
          </w:tcPr>
          <w:p w14:paraId="6604D595">
            <w:pPr>
              <w:pStyle w:val="4"/>
              <w:spacing w:after="120"/>
              <w:ind w:firstLine="380"/>
              <w:jc w:val="both"/>
              <w:rPr>
                <w:highlight w:val="none"/>
              </w:rPr>
            </w:pPr>
            <w:r>
              <w:rPr>
                <w:rFonts w:ascii="仿宋_GB2312" w:hAnsi="仿宋_GB2312" w:eastAsia="仿宋_GB2312" w:cs="仿宋_GB2312"/>
                <w:color w:val="000000"/>
                <w:sz w:val="24"/>
                <w:highlight w:val="none"/>
              </w:rPr>
              <w:t>6</w:t>
            </w:r>
          </w:p>
        </w:tc>
        <w:tc>
          <w:tcPr>
            <w:tcW w:w="1410" w:type="dxa"/>
            <w:tcBorders>
              <w:top w:val="nil"/>
              <w:left w:val="nil"/>
              <w:bottom w:val="single" w:color="000000" w:sz="4" w:space="0"/>
              <w:right w:val="single" w:color="000000" w:sz="4" w:space="0"/>
            </w:tcBorders>
            <w:tcMar>
              <w:top w:w="0" w:type="dxa"/>
              <w:left w:w="90" w:type="dxa"/>
              <w:bottom w:w="0" w:type="dxa"/>
              <w:right w:w="90" w:type="dxa"/>
            </w:tcMar>
            <w:vAlign w:val="top"/>
          </w:tcPr>
          <w:p w14:paraId="2D7C02C9">
            <w:pPr>
              <w:pStyle w:val="4"/>
              <w:spacing w:after="120"/>
              <w:ind w:firstLine="380"/>
              <w:jc w:val="both"/>
              <w:rPr>
                <w:highlight w:val="none"/>
              </w:rPr>
            </w:pPr>
            <w:r>
              <w:rPr>
                <w:rFonts w:ascii="仿宋_GB2312" w:hAnsi="仿宋_GB2312" w:eastAsia="仿宋_GB2312" w:cs="仿宋_GB2312"/>
                <w:color w:val="000000"/>
                <w:sz w:val="24"/>
                <w:highlight w:val="none"/>
              </w:rPr>
              <w:t>配电房、办公楼</w:t>
            </w:r>
          </w:p>
        </w:tc>
        <w:tc>
          <w:tcPr>
            <w:tcW w:w="620" w:type="dxa"/>
            <w:tcBorders>
              <w:top w:val="nil"/>
              <w:left w:val="nil"/>
              <w:bottom w:val="single" w:color="000000" w:sz="4" w:space="0"/>
              <w:right w:val="single" w:color="000000" w:sz="4" w:space="0"/>
            </w:tcBorders>
            <w:tcMar>
              <w:top w:w="0" w:type="dxa"/>
              <w:left w:w="90" w:type="dxa"/>
              <w:bottom w:w="0" w:type="dxa"/>
              <w:right w:w="90" w:type="dxa"/>
            </w:tcMar>
            <w:vAlign w:val="top"/>
          </w:tcPr>
          <w:p w14:paraId="755F4148">
            <w:pPr>
              <w:pStyle w:val="4"/>
              <w:spacing w:after="120"/>
              <w:ind w:firstLine="380"/>
              <w:jc w:val="both"/>
              <w:rPr>
                <w:highlight w:val="none"/>
              </w:rPr>
            </w:pPr>
            <w:r>
              <w:rPr>
                <w:rFonts w:ascii="仿宋_GB2312" w:hAnsi="仿宋_GB2312" w:eastAsia="仿宋_GB2312" w:cs="仿宋_GB2312"/>
                <w:color w:val="000000"/>
                <w:sz w:val="24"/>
                <w:highlight w:val="none"/>
              </w:rPr>
              <w:t>1</w:t>
            </w:r>
          </w:p>
        </w:tc>
        <w:tc>
          <w:tcPr>
            <w:tcW w:w="1255" w:type="dxa"/>
            <w:tcBorders>
              <w:top w:val="nil"/>
              <w:left w:val="nil"/>
              <w:bottom w:val="single" w:color="000000" w:sz="4" w:space="0"/>
              <w:right w:val="single" w:color="000000" w:sz="4" w:space="0"/>
            </w:tcBorders>
            <w:tcMar>
              <w:top w:w="0" w:type="dxa"/>
              <w:left w:w="90" w:type="dxa"/>
              <w:bottom w:w="0" w:type="dxa"/>
              <w:right w:w="90" w:type="dxa"/>
            </w:tcMar>
            <w:vAlign w:val="top"/>
          </w:tcPr>
          <w:p w14:paraId="5B29CB4C">
            <w:pPr>
              <w:pStyle w:val="4"/>
              <w:spacing w:after="120"/>
              <w:ind w:firstLine="380"/>
              <w:jc w:val="both"/>
              <w:rPr>
                <w:highlight w:val="none"/>
              </w:rPr>
            </w:pPr>
            <w:r>
              <w:rPr>
                <w:rFonts w:ascii="仿宋_GB2312" w:hAnsi="仿宋_GB2312" w:eastAsia="仿宋_GB2312" w:cs="仿宋_GB2312"/>
                <w:color w:val="000000"/>
                <w:sz w:val="24"/>
                <w:highlight w:val="none"/>
              </w:rPr>
              <w:t>246</w:t>
            </w:r>
          </w:p>
        </w:tc>
      </w:tr>
      <w:tr w14:paraId="46FF472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246" w:type="dxa"/>
            <w:gridSpan w:val="8"/>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18BF2496">
            <w:pPr>
              <w:pStyle w:val="4"/>
              <w:spacing w:after="120"/>
              <w:ind w:firstLine="380"/>
              <w:jc w:val="both"/>
              <w:rPr>
                <w:highlight w:val="none"/>
              </w:rPr>
            </w:pPr>
            <w:r>
              <w:rPr>
                <w:rFonts w:ascii="仿宋_GB2312" w:hAnsi="仿宋_GB2312" w:eastAsia="仿宋_GB2312" w:cs="仿宋_GB2312"/>
                <w:b/>
                <w:color w:val="000000"/>
                <w:sz w:val="24"/>
                <w:highlight w:val="none"/>
              </w:rPr>
              <w:t>艺新楼</w:t>
            </w:r>
          </w:p>
        </w:tc>
      </w:tr>
      <w:tr w14:paraId="5E115A7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57"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3038AE40">
            <w:pPr>
              <w:pStyle w:val="4"/>
              <w:spacing w:after="120"/>
              <w:ind w:firstLine="380"/>
              <w:jc w:val="both"/>
              <w:rPr>
                <w:highlight w:val="none"/>
              </w:rPr>
            </w:pPr>
            <w:r>
              <w:rPr>
                <w:rFonts w:ascii="仿宋_GB2312" w:hAnsi="仿宋_GB2312" w:eastAsia="仿宋_GB2312" w:cs="仿宋_GB2312"/>
                <w:color w:val="000000"/>
                <w:sz w:val="24"/>
                <w:highlight w:val="none"/>
              </w:rPr>
              <w:t>1</w:t>
            </w:r>
          </w:p>
        </w:tc>
        <w:tc>
          <w:tcPr>
            <w:tcW w:w="1339" w:type="dxa"/>
            <w:tcBorders>
              <w:top w:val="single" w:color="000000" w:sz="4" w:space="0"/>
              <w:left w:val="nil"/>
              <w:bottom w:val="single" w:color="000000" w:sz="4" w:space="0"/>
              <w:right w:val="single" w:color="000000" w:sz="4" w:space="0"/>
            </w:tcBorders>
            <w:tcMar>
              <w:top w:w="0" w:type="dxa"/>
              <w:left w:w="90" w:type="dxa"/>
              <w:bottom w:w="0" w:type="dxa"/>
              <w:right w:w="90" w:type="dxa"/>
            </w:tcMar>
            <w:vAlign w:val="top"/>
          </w:tcPr>
          <w:p w14:paraId="57BBFA7D">
            <w:pPr>
              <w:pStyle w:val="4"/>
              <w:spacing w:after="120"/>
              <w:ind w:firstLine="380"/>
              <w:jc w:val="both"/>
              <w:rPr>
                <w:highlight w:val="none"/>
              </w:rPr>
            </w:pPr>
            <w:r>
              <w:rPr>
                <w:rFonts w:ascii="仿宋_GB2312" w:hAnsi="仿宋_GB2312" w:eastAsia="仿宋_GB2312" w:cs="仿宋_GB2312"/>
                <w:color w:val="000000"/>
                <w:sz w:val="24"/>
                <w:highlight w:val="none"/>
              </w:rPr>
              <w:t>艺新楼</w:t>
            </w:r>
          </w:p>
        </w:tc>
        <w:tc>
          <w:tcPr>
            <w:tcW w:w="634" w:type="dxa"/>
            <w:tcBorders>
              <w:top w:val="single" w:color="000000" w:sz="4" w:space="0"/>
              <w:left w:val="nil"/>
              <w:bottom w:val="single" w:color="000000" w:sz="4" w:space="0"/>
              <w:right w:val="single" w:color="000000" w:sz="4" w:space="0"/>
            </w:tcBorders>
            <w:tcMar>
              <w:top w:w="0" w:type="dxa"/>
              <w:left w:w="90" w:type="dxa"/>
              <w:bottom w:w="0" w:type="dxa"/>
              <w:right w:w="90" w:type="dxa"/>
            </w:tcMar>
            <w:vAlign w:val="top"/>
          </w:tcPr>
          <w:p w14:paraId="540954A2">
            <w:pPr>
              <w:pStyle w:val="4"/>
              <w:spacing w:after="120"/>
              <w:ind w:firstLine="380"/>
              <w:jc w:val="both"/>
              <w:rPr>
                <w:highlight w:val="none"/>
              </w:rPr>
            </w:pPr>
            <w:r>
              <w:rPr>
                <w:rFonts w:ascii="仿宋_GB2312" w:hAnsi="仿宋_GB2312" w:eastAsia="仿宋_GB2312" w:cs="仿宋_GB2312"/>
                <w:color w:val="000000"/>
                <w:sz w:val="24"/>
                <w:highlight w:val="none"/>
              </w:rPr>
              <w:t>13</w:t>
            </w:r>
          </w:p>
        </w:tc>
        <w:tc>
          <w:tcPr>
            <w:tcW w:w="3961" w:type="dxa"/>
            <w:gridSpan w:val="4"/>
            <w:tcBorders>
              <w:top w:val="single" w:color="000000" w:sz="4" w:space="0"/>
              <w:left w:val="nil"/>
              <w:bottom w:val="single" w:color="000000" w:sz="4" w:space="0"/>
              <w:right w:val="single" w:color="000000" w:sz="4" w:space="0"/>
            </w:tcBorders>
            <w:tcMar>
              <w:top w:w="0" w:type="dxa"/>
              <w:left w:w="90" w:type="dxa"/>
              <w:bottom w:w="0" w:type="dxa"/>
              <w:right w:w="90" w:type="dxa"/>
            </w:tcMar>
            <w:vAlign w:val="top"/>
          </w:tcPr>
          <w:p w14:paraId="21677E62">
            <w:pPr>
              <w:pStyle w:val="4"/>
              <w:spacing w:after="120"/>
              <w:ind w:firstLine="380"/>
              <w:jc w:val="both"/>
              <w:rPr>
                <w:highlight w:val="none"/>
              </w:rPr>
            </w:pPr>
            <w:r>
              <w:rPr>
                <w:rFonts w:ascii="仿宋_GB2312" w:hAnsi="仿宋_GB2312" w:eastAsia="仿宋_GB2312" w:cs="仿宋_GB2312"/>
                <w:color w:val="000000"/>
                <w:sz w:val="24"/>
                <w:highlight w:val="none"/>
              </w:rPr>
              <w:t>会议室、实训实验室、办公室、校企合作中心、地下停车场等</w:t>
            </w:r>
          </w:p>
        </w:tc>
        <w:tc>
          <w:tcPr>
            <w:tcW w:w="1255" w:type="dxa"/>
            <w:tcBorders>
              <w:top w:val="single" w:color="000000" w:sz="4" w:space="0"/>
              <w:left w:val="nil"/>
              <w:bottom w:val="single" w:color="000000" w:sz="4" w:space="0"/>
              <w:right w:val="single" w:color="000000" w:sz="4" w:space="0"/>
            </w:tcBorders>
            <w:tcMar>
              <w:top w:w="0" w:type="dxa"/>
              <w:left w:w="90" w:type="dxa"/>
              <w:bottom w:w="0" w:type="dxa"/>
              <w:right w:w="90" w:type="dxa"/>
            </w:tcMar>
            <w:vAlign w:val="top"/>
          </w:tcPr>
          <w:p w14:paraId="3C5A0102">
            <w:pPr>
              <w:pStyle w:val="4"/>
              <w:spacing w:after="120"/>
              <w:ind w:firstLine="380"/>
              <w:jc w:val="both"/>
              <w:rPr>
                <w:highlight w:val="none"/>
              </w:rPr>
            </w:pPr>
            <w:r>
              <w:rPr>
                <w:rFonts w:ascii="仿宋_GB2312" w:hAnsi="仿宋_GB2312" w:eastAsia="仿宋_GB2312" w:cs="仿宋_GB2312"/>
                <w:color w:val="000000"/>
                <w:sz w:val="24"/>
                <w:highlight w:val="none"/>
              </w:rPr>
              <w:t>64789</w:t>
            </w:r>
          </w:p>
        </w:tc>
      </w:tr>
      <w:tr w14:paraId="7998052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246" w:type="dxa"/>
            <w:gridSpan w:val="8"/>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0ECF1FCF">
            <w:pPr>
              <w:pStyle w:val="4"/>
              <w:spacing w:after="120"/>
              <w:ind w:firstLine="380"/>
              <w:jc w:val="both"/>
              <w:rPr>
                <w:highlight w:val="none"/>
              </w:rPr>
            </w:pPr>
            <w:r>
              <w:rPr>
                <w:rFonts w:ascii="仿宋_GB2312" w:hAnsi="仿宋_GB2312" w:eastAsia="仿宋_GB2312" w:cs="仿宋_GB2312"/>
                <w:color w:val="000000"/>
                <w:sz w:val="24"/>
                <w:highlight w:val="none"/>
              </w:rPr>
              <w:t>各校区的附属楼宇（配电房、水泵房、储物间、仓库、地下车库及其它临时性用房等）</w:t>
            </w:r>
          </w:p>
        </w:tc>
      </w:tr>
      <w:tr w14:paraId="48397E9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246" w:type="dxa"/>
            <w:gridSpan w:val="8"/>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180B4AB1">
            <w:pPr>
              <w:pStyle w:val="4"/>
              <w:spacing w:after="120"/>
              <w:ind w:firstLine="380"/>
              <w:jc w:val="both"/>
              <w:rPr>
                <w:highlight w:val="none"/>
              </w:rPr>
            </w:pPr>
            <w:r>
              <w:rPr>
                <w:rFonts w:ascii="仿宋_GB2312" w:hAnsi="仿宋_GB2312" w:eastAsia="仿宋_GB2312" w:cs="仿宋_GB2312"/>
                <w:b/>
                <w:color w:val="000000"/>
                <w:sz w:val="24"/>
                <w:highlight w:val="none"/>
              </w:rPr>
              <w:t>电梯配置情况：福道园行政楼2部电梯，福道园培训中心2部电梯，福道园图书馆4部电梯，福船园32号楼1部电梯，福航园创新楼2部电梯、艺新楼11部电梯。</w:t>
            </w:r>
          </w:p>
        </w:tc>
      </w:tr>
    </w:tbl>
    <w:p w14:paraId="2E495762">
      <w:pPr>
        <w:pStyle w:val="4"/>
        <w:spacing w:after="120"/>
        <w:ind w:left="225" w:right="-285" w:firstLine="480"/>
        <w:jc w:val="both"/>
        <w:rPr>
          <w:highlight w:val="none"/>
        </w:rPr>
      </w:pPr>
      <w:r>
        <w:rPr>
          <w:rFonts w:ascii="仿宋_GB2312" w:hAnsi="仿宋_GB2312" w:eastAsia="仿宋_GB2312" w:cs="仿宋_GB2312"/>
          <w:color w:val="000000"/>
          <w:sz w:val="24"/>
          <w:highlight w:val="none"/>
          <w:shd w:val="clear" w:fill="FFFFFF"/>
        </w:rPr>
        <w:t>备注：</w:t>
      </w:r>
    </w:p>
    <w:p w14:paraId="1143DD84">
      <w:pPr>
        <w:pStyle w:val="4"/>
        <w:numPr>
          <w:ilvl w:val="0"/>
          <w:numId w:val="1"/>
        </w:numPr>
        <w:ind w:firstLine="480"/>
        <w:jc w:val="both"/>
        <w:rPr>
          <w:highlight w:val="none"/>
        </w:rPr>
      </w:pPr>
      <w:r>
        <w:rPr>
          <w:rFonts w:ascii="仿宋_GB2312" w:hAnsi="仿宋_GB2312" w:eastAsia="仿宋_GB2312" w:cs="仿宋_GB2312"/>
          <w:color w:val="000000"/>
          <w:sz w:val="24"/>
          <w:highlight w:val="none"/>
          <w:shd w:val="clear" w:fill="FFFFFF"/>
        </w:rPr>
        <w:t>福道园占地面积约248亩，建筑面积110402平方米，含1-26号楼，钢构车间8座、运动场1个，其中13、14、21号楼目前未使用。</w:t>
      </w:r>
    </w:p>
    <w:p w14:paraId="0E4BC70E">
      <w:pPr>
        <w:pStyle w:val="4"/>
        <w:ind w:firstLine="480"/>
        <w:jc w:val="both"/>
        <w:rPr>
          <w:highlight w:val="none"/>
        </w:rPr>
      </w:pPr>
      <w:r>
        <w:rPr>
          <w:rFonts w:ascii="仿宋_GB2312" w:hAnsi="仿宋_GB2312" w:eastAsia="仿宋_GB2312" w:cs="仿宋_GB2312"/>
          <w:color w:val="000000"/>
          <w:sz w:val="24"/>
          <w:highlight w:val="none"/>
          <w:shd w:val="clear" w:fill="FFFFFF"/>
        </w:rPr>
        <w:t>2.福船园占地面积约71亩，建筑面积116574平方米，含27-40号楼和艺新楼，其中艺新楼总建筑面积64789平方米，含地下室停车场地、裙楼，每栋13层，地库238个停车位。</w:t>
      </w:r>
    </w:p>
    <w:p w14:paraId="2D5A67AC">
      <w:pPr>
        <w:pStyle w:val="4"/>
        <w:ind w:firstLine="480"/>
        <w:jc w:val="both"/>
        <w:rPr>
          <w:highlight w:val="none"/>
        </w:rPr>
      </w:pPr>
      <w:r>
        <w:rPr>
          <w:rFonts w:ascii="仿宋_GB2312" w:hAnsi="仿宋_GB2312" w:eastAsia="仿宋_GB2312" w:cs="仿宋_GB2312"/>
          <w:color w:val="000000"/>
          <w:sz w:val="24"/>
          <w:highlight w:val="none"/>
          <w:shd w:val="clear" w:fill="FFFFFF"/>
        </w:rPr>
        <w:t>3.福佑园占地面积约44亩，建筑面积10160平方米，含福佑园1-8号楼。其中4、5、7号楼目前未使用。</w:t>
      </w:r>
    </w:p>
    <w:p w14:paraId="15E2981A">
      <w:pPr>
        <w:pStyle w:val="4"/>
        <w:ind w:firstLine="480"/>
        <w:jc w:val="both"/>
        <w:rPr>
          <w:highlight w:val="none"/>
        </w:rPr>
      </w:pPr>
      <w:r>
        <w:rPr>
          <w:rFonts w:ascii="仿宋_GB2312" w:hAnsi="仿宋_GB2312" w:eastAsia="仿宋_GB2312" w:cs="仿宋_GB2312"/>
          <w:color w:val="000000"/>
          <w:sz w:val="24"/>
          <w:highlight w:val="none"/>
          <w:shd w:val="clear" w:fill="FFFFFF"/>
        </w:rPr>
        <w:t>4福航园占地面积86亩，建筑面积48247平方米，含1-19号楼、创新楼1座、施工馆1座，运动场1个，其中8号楼目前未使用。</w:t>
      </w:r>
    </w:p>
    <w:p w14:paraId="649D31D6">
      <w:pPr>
        <w:pStyle w:val="4"/>
        <w:numPr>
          <w:ilvl w:val="0"/>
          <w:numId w:val="1"/>
        </w:numPr>
        <w:ind w:firstLine="480"/>
        <w:jc w:val="both"/>
        <w:rPr>
          <w:highlight w:val="none"/>
        </w:rPr>
      </w:pPr>
      <w:r>
        <w:rPr>
          <w:rFonts w:ascii="仿宋_GB2312" w:hAnsi="仿宋_GB2312" w:eastAsia="仿宋_GB2312" w:cs="仿宋_GB2312"/>
          <w:color w:val="000000"/>
          <w:sz w:val="24"/>
          <w:highlight w:val="none"/>
          <w:shd w:val="clear" w:fill="FFFFFF"/>
        </w:rPr>
        <w:t>长安校区占地面积约19亩，建筑面积14362平方米，含1-6号楼。为学院向江夏学院租赁。</w:t>
      </w:r>
    </w:p>
    <w:p w14:paraId="67A4428A">
      <w:pPr>
        <w:pStyle w:val="4"/>
        <w:jc w:val="both"/>
        <w:outlineLvl w:val="2"/>
        <w:rPr>
          <w:highlight w:val="none"/>
        </w:rPr>
      </w:pPr>
      <w:r>
        <w:rPr>
          <w:rFonts w:ascii="仿宋_GB2312" w:hAnsi="仿宋_GB2312" w:eastAsia="仿宋_GB2312" w:cs="仿宋_GB2312"/>
          <w:b/>
          <w:sz w:val="28"/>
          <w:highlight w:val="none"/>
        </w:rPr>
        <w:t>二、技术和服务要求（以“★”标示的内容为不允许负偏离的实质性要求）</w:t>
      </w:r>
    </w:p>
    <w:p w14:paraId="7B3BA954">
      <w:pPr>
        <w:pStyle w:val="4"/>
        <w:jc w:val="left"/>
        <w:rPr>
          <w:highlight w:val="none"/>
        </w:rPr>
      </w:pPr>
      <w:r>
        <w:rPr>
          <w:rFonts w:ascii="仿宋_GB2312" w:hAnsi="仿宋_GB2312" w:eastAsia="仿宋_GB2312" w:cs="仿宋_GB2312"/>
          <w:b/>
          <w:sz w:val="24"/>
          <w:highlight w:val="none"/>
          <w:shd w:val="clear" w:fill="FFFFFF"/>
        </w:rPr>
        <w:t>（一）物业管理服务内容</w:t>
      </w:r>
      <w:r>
        <w:rPr>
          <w:rFonts w:ascii="仿宋_GB2312" w:hAnsi="仿宋_GB2312" w:eastAsia="仿宋_GB2312" w:cs="仿宋_GB2312"/>
          <w:b/>
          <w:color w:val="000000"/>
          <w:sz w:val="24"/>
          <w:highlight w:val="none"/>
          <w:shd w:val="clear" w:fill="FFFFFF"/>
        </w:rPr>
        <w:t>及总体要求</w:t>
      </w:r>
    </w:p>
    <w:p w14:paraId="3B31F18D">
      <w:pPr>
        <w:pStyle w:val="4"/>
        <w:spacing w:after="150"/>
        <w:ind w:firstLine="480"/>
        <w:jc w:val="left"/>
        <w:rPr>
          <w:highlight w:val="none"/>
        </w:rPr>
      </w:pPr>
      <w:r>
        <w:rPr>
          <w:rFonts w:ascii="仿宋_GB2312" w:hAnsi="仿宋_GB2312" w:eastAsia="仿宋_GB2312" w:cs="仿宋_GB2312"/>
          <w:sz w:val="21"/>
          <w:highlight w:val="none"/>
          <w:shd w:val="clear" w:fill="FFFFFF"/>
        </w:rPr>
        <w:t>1.物业管理服务内容主要包含：</w:t>
      </w:r>
      <w:r>
        <w:rPr>
          <w:rFonts w:ascii="仿宋_GB2312" w:hAnsi="仿宋_GB2312" w:eastAsia="仿宋_GB2312" w:cs="仿宋_GB2312"/>
          <w:color w:val="000000"/>
          <w:sz w:val="24"/>
          <w:highlight w:val="none"/>
          <w:shd w:val="clear" w:fill="FFFFFF"/>
        </w:rPr>
        <w:t>服务内容主要包含校园卫生保洁服务、化粪池清理、水池清洗消毒及水质检测、垃圾分类及清运、学生宿舍管理、绿化养护服务、零星维修、会务服务、设施设备日常巡查和保养、综合服务等。</w:t>
      </w:r>
    </w:p>
    <w:p w14:paraId="67725656">
      <w:pPr>
        <w:pStyle w:val="4"/>
        <w:spacing w:after="150"/>
        <w:ind w:firstLine="480" w:firstLineChars="200"/>
        <w:jc w:val="both"/>
        <w:rPr>
          <w:highlight w:val="none"/>
        </w:rPr>
      </w:pPr>
      <w:r>
        <w:rPr>
          <w:rFonts w:ascii="仿宋_GB2312" w:hAnsi="仿宋_GB2312" w:eastAsia="仿宋_GB2312" w:cs="仿宋_GB2312"/>
          <w:color w:val="000000"/>
          <w:sz w:val="24"/>
          <w:highlight w:val="none"/>
          <w:shd w:val="clear" w:fill="FFFFFF"/>
        </w:rPr>
        <w:t>2.总体质量要求</w:t>
      </w:r>
    </w:p>
    <w:p w14:paraId="1D7D5C42">
      <w:pPr>
        <w:pStyle w:val="4"/>
        <w:spacing w:after="150"/>
        <w:ind w:firstLine="482"/>
        <w:jc w:val="both"/>
        <w:rPr>
          <w:highlight w:val="none"/>
        </w:rPr>
      </w:pPr>
      <w:r>
        <w:rPr>
          <w:rFonts w:ascii="仿宋_GB2312" w:hAnsi="仿宋_GB2312" w:eastAsia="仿宋_GB2312" w:cs="仿宋_GB2312"/>
          <w:color w:val="000000"/>
          <w:sz w:val="24"/>
          <w:highlight w:val="none"/>
          <w:shd w:val="clear" w:fill="FFFFFF"/>
        </w:rPr>
        <w:t>2.1在校园实施物业管理的专业化、社会化。努力营造“文明整洁、和谐有序、优雅舒适”的环境。制定完善的各类突发事故应急预案并实施，防范措施严密；做到环境保洁率，管理服务人员持证上岗率，零修、急修及时率三个100%，物业管理服务总体满意率达90%以上。</w:t>
      </w:r>
    </w:p>
    <w:p w14:paraId="5213437A">
      <w:pPr>
        <w:pStyle w:val="4"/>
        <w:spacing w:after="150"/>
        <w:ind w:firstLine="480"/>
        <w:jc w:val="left"/>
        <w:rPr>
          <w:highlight w:val="none"/>
        </w:rPr>
      </w:pPr>
      <w:r>
        <w:rPr>
          <w:rFonts w:ascii="仿宋_GB2312" w:hAnsi="仿宋_GB2312" w:eastAsia="仿宋_GB2312" w:cs="仿宋_GB2312"/>
          <w:color w:val="000000"/>
          <w:sz w:val="24"/>
          <w:highlight w:val="none"/>
          <w:shd w:val="clear" w:fill="FFFFFF"/>
        </w:rPr>
        <w:t>2.2要在物业服务各个方面，加强管理，提供优质服务，营造优美校园环境。全力配合和协助采购人做好节能减排、垃圾分类、疫情常态化防控、文明单位、节约型公共机构示范单位、节约型、节水型单位创建等宣传创建有关工作。</w:t>
      </w:r>
    </w:p>
    <w:p w14:paraId="26073114">
      <w:pPr>
        <w:pStyle w:val="4"/>
        <w:spacing w:after="150"/>
        <w:ind w:firstLine="480"/>
        <w:jc w:val="left"/>
        <w:rPr>
          <w:highlight w:val="none"/>
        </w:rPr>
      </w:pPr>
      <w:r>
        <w:rPr>
          <w:rFonts w:ascii="仿宋_GB2312" w:hAnsi="仿宋_GB2312" w:eastAsia="仿宋_GB2312" w:cs="仿宋_GB2312"/>
          <w:color w:val="000000"/>
          <w:sz w:val="24"/>
          <w:highlight w:val="none"/>
          <w:shd w:val="clear" w:fill="FFFFFF"/>
        </w:rPr>
        <w:t>（二）</w:t>
      </w:r>
      <w:r>
        <w:rPr>
          <w:rFonts w:ascii="仿宋_GB2312" w:hAnsi="仿宋_GB2312" w:eastAsia="仿宋_GB2312" w:cs="仿宋_GB2312"/>
          <w:b/>
          <w:color w:val="000000"/>
          <w:sz w:val="21"/>
          <w:highlight w:val="none"/>
          <w:shd w:val="clear" w:fill="FFFFFF"/>
        </w:rPr>
        <w:t>物业管理服务要求</w:t>
      </w:r>
    </w:p>
    <w:p w14:paraId="1251FAFE">
      <w:pPr>
        <w:pStyle w:val="4"/>
        <w:spacing w:after="150"/>
        <w:ind w:firstLine="482"/>
        <w:jc w:val="left"/>
        <w:rPr>
          <w:highlight w:val="none"/>
        </w:rPr>
      </w:pPr>
      <w:r>
        <w:rPr>
          <w:rFonts w:ascii="仿宋_GB2312" w:hAnsi="仿宋_GB2312" w:eastAsia="仿宋_GB2312" w:cs="仿宋_GB2312"/>
          <w:b/>
          <w:color w:val="000000"/>
          <w:sz w:val="24"/>
          <w:highlight w:val="none"/>
          <w:shd w:val="clear" w:fill="FFFFFF"/>
        </w:rPr>
        <w:t>1.校园卫生保洁服务要求</w:t>
      </w:r>
    </w:p>
    <w:p w14:paraId="2637091B">
      <w:pPr>
        <w:pStyle w:val="4"/>
        <w:ind w:firstLine="480"/>
        <w:jc w:val="both"/>
        <w:rPr>
          <w:highlight w:val="none"/>
        </w:rPr>
      </w:pPr>
      <w:r>
        <w:rPr>
          <w:rFonts w:ascii="仿宋_GB2312" w:hAnsi="仿宋_GB2312" w:eastAsia="仿宋_GB2312" w:cs="仿宋_GB2312"/>
          <w:color w:val="000000"/>
          <w:sz w:val="24"/>
          <w:highlight w:val="none"/>
          <w:shd w:val="clear" w:fill="FFFFFF"/>
        </w:rPr>
        <w:t>1.1保洁范围：全校区保洁。办公室、学生和教职工宿舍、食堂、教室、实训室、礼堂内部、培训中心除外。日常保洁器具、耗材由中标人负责，包括且不仅限于：清洁器具（清洁一体机、打蜡机等），清洁卫生用工具（扫帚、拖把、畚箕、抹布等）；纸篓、铁桶（办公室内、卫生间）、垃圾袋；保洁清洁材料（洁厕灵、肥皂粉、消毒液、洗洁精等）；垃圾分类亭分类垃圾桶、垃圾转运筒（要与垃圾转运车配套）、垃圾转运车等由中标人负责采购、管理维护、如有破损及时更换，费用由中标人负责；公共场所用垃圾桶，如发生损坏由中标人负责采购更换。</w:t>
      </w:r>
    </w:p>
    <w:p w14:paraId="1378CC17">
      <w:pPr>
        <w:pStyle w:val="4"/>
        <w:ind w:firstLine="480"/>
        <w:jc w:val="both"/>
        <w:rPr>
          <w:highlight w:val="none"/>
        </w:rPr>
      </w:pPr>
      <w:r>
        <w:rPr>
          <w:rFonts w:ascii="仿宋_GB2312" w:hAnsi="仿宋_GB2312" w:eastAsia="仿宋_GB2312" w:cs="仿宋_GB2312"/>
          <w:color w:val="000000"/>
          <w:sz w:val="24"/>
          <w:highlight w:val="none"/>
          <w:shd w:val="clear" w:fill="FFFFFF"/>
        </w:rPr>
        <w:t>1.2服务标准：</w:t>
      </w:r>
    </w:p>
    <w:p w14:paraId="4EF480CF">
      <w:pPr>
        <w:pStyle w:val="4"/>
        <w:ind w:firstLine="480"/>
        <w:jc w:val="both"/>
        <w:rPr>
          <w:highlight w:val="none"/>
        </w:rPr>
      </w:pPr>
      <w:r>
        <w:rPr>
          <w:rFonts w:ascii="仿宋_GB2312" w:hAnsi="仿宋_GB2312" w:eastAsia="仿宋_GB2312" w:cs="仿宋_GB2312"/>
          <w:color w:val="000000"/>
          <w:sz w:val="24"/>
          <w:highlight w:val="none"/>
          <w:shd w:val="clear" w:fill="FFFFFF"/>
        </w:rPr>
        <w:t>1.2.1 大堂地面清洁光亮、无杂物、无污渍，玻璃明亮干净，保持墙体干净整洁；</w:t>
      </w:r>
    </w:p>
    <w:p w14:paraId="74DCBDA9">
      <w:pPr>
        <w:pStyle w:val="4"/>
        <w:ind w:firstLine="480"/>
        <w:jc w:val="both"/>
        <w:rPr>
          <w:highlight w:val="none"/>
        </w:rPr>
      </w:pPr>
      <w:r>
        <w:rPr>
          <w:rFonts w:ascii="仿宋_GB2312" w:hAnsi="仿宋_GB2312" w:eastAsia="仿宋_GB2312" w:cs="仿宋_GB2312"/>
          <w:color w:val="000000"/>
          <w:sz w:val="24"/>
          <w:highlight w:val="none"/>
          <w:shd w:val="clear" w:fill="FFFFFF"/>
        </w:rPr>
        <w:t>1.2.2 楼梯地面无污渍、无痰迹、纸屑、果皮等杂物；楼梯护栏扶手栏杆无脏迹，表面干净；台阶横面竖面均清洁，无污渍；</w:t>
      </w:r>
    </w:p>
    <w:p w14:paraId="2DFC6323">
      <w:pPr>
        <w:pStyle w:val="4"/>
        <w:ind w:firstLine="480"/>
        <w:jc w:val="both"/>
        <w:rPr>
          <w:highlight w:val="none"/>
        </w:rPr>
      </w:pPr>
      <w:r>
        <w:rPr>
          <w:rFonts w:ascii="仿宋_GB2312" w:hAnsi="仿宋_GB2312" w:eastAsia="仿宋_GB2312" w:cs="仿宋_GB2312"/>
          <w:color w:val="000000"/>
          <w:sz w:val="24"/>
          <w:highlight w:val="none"/>
          <w:shd w:val="clear" w:fill="FFFFFF"/>
        </w:rPr>
        <w:t>1.2.3 灯具无脏迹、无蜘蛛网、无蚊虫死体，表面明亮干净；</w:t>
      </w:r>
    </w:p>
    <w:p w14:paraId="62FDD918">
      <w:pPr>
        <w:pStyle w:val="4"/>
        <w:ind w:firstLine="480"/>
        <w:jc w:val="both"/>
        <w:rPr>
          <w:highlight w:val="none"/>
        </w:rPr>
      </w:pPr>
      <w:r>
        <w:rPr>
          <w:rFonts w:ascii="仿宋_GB2312" w:hAnsi="仿宋_GB2312" w:eastAsia="仿宋_GB2312" w:cs="仿宋_GB2312"/>
          <w:color w:val="000000"/>
          <w:sz w:val="24"/>
          <w:highlight w:val="none"/>
          <w:shd w:val="clear" w:fill="FFFFFF"/>
        </w:rPr>
        <w:t>1.2.4 楼道墙壁的其他附属物和张贴物，包括配电箱、电表箱、宣传(牌)栏、指示牌、消防栓、疏散示意图等，保持无脏迹、无蜘蛛网、无广告纸字画，表面明亮干净；楼道墙面、墙裙、踢脚砖清洁干净；顶棚无蜘蛛网；</w:t>
      </w:r>
    </w:p>
    <w:p w14:paraId="505A5574">
      <w:pPr>
        <w:pStyle w:val="4"/>
        <w:ind w:firstLine="480"/>
        <w:jc w:val="both"/>
        <w:rPr>
          <w:highlight w:val="none"/>
        </w:rPr>
      </w:pPr>
      <w:r>
        <w:rPr>
          <w:rFonts w:ascii="仿宋_GB2312" w:hAnsi="仿宋_GB2312" w:eastAsia="仿宋_GB2312" w:cs="仿宋_GB2312"/>
          <w:color w:val="000000"/>
          <w:sz w:val="24"/>
          <w:highlight w:val="none"/>
          <w:shd w:val="clear" w:fill="FFFFFF"/>
        </w:rPr>
        <w:t>1.2.5 消火栓与灭火器表面，标识牌无脱落、丢失现象；</w:t>
      </w:r>
    </w:p>
    <w:p w14:paraId="688508CB">
      <w:pPr>
        <w:pStyle w:val="4"/>
        <w:ind w:firstLine="480"/>
        <w:jc w:val="both"/>
        <w:rPr>
          <w:highlight w:val="none"/>
        </w:rPr>
      </w:pPr>
      <w:r>
        <w:rPr>
          <w:rFonts w:ascii="仿宋_GB2312" w:hAnsi="仿宋_GB2312" w:eastAsia="仿宋_GB2312" w:cs="仿宋_GB2312"/>
          <w:color w:val="000000"/>
          <w:sz w:val="24"/>
          <w:highlight w:val="none"/>
          <w:shd w:val="clear" w:fill="FFFFFF"/>
        </w:rPr>
        <w:t>1.2.6 值班室：值班室门窗玻璃保持干净，无损坏，保持张贴物整齐有序，钥匙挂置统一，地面干净，无痰迹、纸屑，桌面物品摆放整齐，室内无乱拉绳子、无蜘蛛网，空气清新、无异味；</w:t>
      </w:r>
    </w:p>
    <w:p w14:paraId="7D862633">
      <w:pPr>
        <w:pStyle w:val="4"/>
        <w:ind w:firstLine="480"/>
        <w:jc w:val="both"/>
        <w:rPr>
          <w:highlight w:val="none"/>
        </w:rPr>
      </w:pPr>
      <w:r>
        <w:rPr>
          <w:rFonts w:ascii="仿宋_GB2312" w:hAnsi="仿宋_GB2312" w:eastAsia="仿宋_GB2312" w:cs="仿宋_GB2312"/>
          <w:color w:val="000000"/>
          <w:sz w:val="24"/>
          <w:highlight w:val="none"/>
          <w:shd w:val="clear" w:fill="FFFFFF"/>
        </w:rPr>
        <w:t>1.2.7会议室、接待室、报告厅、校史馆等根据会议室的不同要求，以及会议安排，至少在会议前半小时做好保洁工作，会议后当日内应完成保洁工作。要求经常开窗通风，保持室内空气清新。墙面、天花板、吊灯、吊扇表面无积灰、无污渍、蜘蛛网。桌椅、沙发、设备表面干净整洁，无积灰、无污渍，光亮。地面、踢角线无积灰、无杂物垃圾。音视频设备表面无积灰、无污渍，话筒定时消毒。窗帘整洁并挂放整齐。及时清理垃圾箱中垃圾。</w:t>
      </w:r>
    </w:p>
    <w:p w14:paraId="2A955C04">
      <w:pPr>
        <w:pStyle w:val="4"/>
        <w:ind w:firstLine="480"/>
        <w:jc w:val="both"/>
        <w:rPr>
          <w:highlight w:val="none"/>
        </w:rPr>
      </w:pPr>
      <w:r>
        <w:rPr>
          <w:rFonts w:ascii="仿宋_GB2312" w:hAnsi="仿宋_GB2312" w:eastAsia="仿宋_GB2312" w:cs="仿宋_GB2312"/>
          <w:color w:val="000000"/>
          <w:sz w:val="24"/>
          <w:highlight w:val="none"/>
          <w:shd w:val="clear" w:fill="FFFFFF"/>
        </w:rPr>
        <w:t>1.2.8 校级领导办公用房、会客室、大师工作室等每日至少清洁2次，每日上下午下班后分别清洁1次，办公桌椅、沙发、设备表面、茶盘等干净整洁，无积灰、无污渍，光亮，要求不得翻阅办公用房内的物品、材料等。</w:t>
      </w:r>
    </w:p>
    <w:p w14:paraId="30A58F46">
      <w:pPr>
        <w:pStyle w:val="4"/>
        <w:ind w:firstLine="480"/>
        <w:jc w:val="both"/>
        <w:rPr>
          <w:highlight w:val="none"/>
        </w:rPr>
      </w:pPr>
      <w:r>
        <w:rPr>
          <w:rFonts w:ascii="仿宋_GB2312" w:hAnsi="仿宋_GB2312" w:eastAsia="仿宋_GB2312" w:cs="仿宋_GB2312"/>
          <w:color w:val="000000"/>
          <w:sz w:val="24"/>
          <w:highlight w:val="none"/>
          <w:shd w:val="clear" w:fill="FFFFFF"/>
        </w:rPr>
        <w:t>1.2.8 公共通道、楼梯、连廊地面每日清扫一次，其中门厅每日清扫二次，地面每周拖洗三次以上；</w:t>
      </w:r>
    </w:p>
    <w:p w14:paraId="1221B06E">
      <w:pPr>
        <w:pStyle w:val="4"/>
        <w:ind w:firstLine="480"/>
        <w:jc w:val="both"/>
        <w:rPr>
          <w:highlight w:val="none"/>
        </w:rPr>
      </w:pPr>
      <w:r>
        <w:rPr>
          <w:rFonts w:ascii="仿宋_GB2312" w:hAnsi="仿宋_GB2312" w:eastAsia="仿宋_GB2312" w:cs="仿宋_GB2312"/>
          <w:color w:val="000000"/>
          <w:sz w:val="24"/>
          <w:highlight w:val="none"/>
          <w:shd w:val="clear" w:fill="FFFFFF"/>
        </w:rPr>
        <w:t>1.2.9消防栓、指示牌等公共设施每周擦抹一次，目视无灰尘、无污渍；如出现需保洁的场所达不到标准要求，应及时清理；</w:t>
      </w:r>
    </w:p>
    <w:p w14:paraId="6AFFDC2F">
      <w:pPr>
        <w:pStyle w:val="4"/>
        <w:ind w:firstLine="480"/>
        <w:jc w:val="both"/>
        <w:rPr>
          <w:highlight w:val="none"/>
        </w:rPr>
      </w:pPr>
      <w:r>
        <w:rPr>
          <w:rFonts w:ascii="仿宋_GB2312" w:hAnsi="仿宋_GB2312" w:eastAsia="仿宋_GB2312" w:cs="仿宋_GB2312"/>
          <w:color w:val="000000"/>
          <w:sz w:val="24"/>
          <w:highlight w:val="none"/>
          <w:shd w:val="clear" w:fill="FFFFFF"/>
        </w:rPr>
        <w:t>1.2.10 墙面、天花板每月除尘一次；</w:t>
      </w:r>
    </w:p>
    <w:p w14:paraId="01375894">
      <w:pPr>
        <w:pStyle w:val="4"/>
        <w:ind w:firstLine="480"/>
        <w:jc w:val="both"/>
        <w:rPr>
          <w:highlight w:val="none"/>
        </w:rPr>
      </w:pPr>
      <w:r>
        <w:rPr>
          <w:rFonts w:ascii="仿宋_GB2312" w:hAnsi="仿宋_GB2312" w:eastAsia="仿宋_GB2312" w:cs="仿宋_GB2312"/>
          <w:color w:val="000000"/>
          <w:sz w:val="24"/>
          <w:highlight w:val="none"/>
          <w:shd w:val="clear" w:fill="FFFFFF"/>
        </w:rPr>
        <w:t>1.2.11 天台、屋顶保持清洁、无杂草、无杂物泥沙，排水管通畅；</w:t>
      </w:r>
    </w:p>
    <w:p w14:paraId="64C6E4C3">
      <w:pPr>
        <w:pStyle w:val="4"/>
        <w:ind w:firstLine="480"/>
        <w:jc w:val="both"/>
        <w:rPr>
          <w:highlight w:val="none"/>
        </w:rPr>
      </w:pPr>
      <w:r>
        <w:rPr>
          <w:rFonts w:ascii="仿宋_GB2312" w:hAnsi="仿宋_GB2312" w:eastAsia="仿宋_GB2312" w:cs="仿宋_GB2312"/>
          <w:color w:val="000000"/>
          <w:sz w:val="24"/>
          <w:highlight w:val="none"/>
          <w:shd w:val="clear" w:fill="FFFFFF"/>
        </w:rPr>
        <w:t>1.2.12 公共保洁区域内的道路地面、绿地、明沟每日清扫，目视地面干净,明沟无杂物、无积水；主要干道每天至少保洁2次，楼前广场、主干道每天8：00之前需完成第一次清洁；主干道大型活动或重要节日前清洗路面；</w:t>
      </w:r>
    </w:p>
    <w:p w14:paraId="626F713B">
      <w:pPr>
        <w:pStyle w:val="4"/>
        <w:ind w:firstLine="480"/>
        <w:jc w:val="both"/>
        <w:rPr>
          <w:highlight w:val="none"/>
        </w:rPr>
      </w:pPr>
      <w:r>
        <w:rPr>
          <w:rFonts w:ascii="仿宋_GB2312" w:hAnsi="仿宋_GB2312" w:eastAsia="仿宋_GB2312" w:cs="仿宋_GB2312"/>
          <w:color w:val="000000"/>
          <w:sz w:val="24"/>
          <w:highlight w:val="none"/>
          <w:shd w:val="clear" w:fill="FFFFFF"/>
        </w:rPr>
        <w:t>1.2.13所有标识牌、宣传栏(牌)、雕塑、公园椅等每周擦抹一次，目视无灰尘、明亮清洁，保证无乱张贴情况；公共灯具、治安探头杆等寒、暑假期间各擦抹一次，目视干净，无蜘蛛网；</w:t>
      </w:r>
    </w:p>
    <w:p w14:paraId="1F51E770">
      <w:pPr>
        <w:pStyle w:val="4"/>
        <w:ind w:firstLine="480"/>
        <w:jc w:val="both"/>
        <w:rPr>
          <w:highlight w:val="none"/>
        </w:rPr>
      </w:pPr>
      <w:r>
        <w:rPr>
          <w:rFonts w:ascii="仿宋_GB2312" w:hAnsi="仿宋_GB2312" w:eastAsia="仿宋_GB2312" w:cs="仿宋_GB2312"/>
          <w:color w:val="000000"/>
          <w:sz w:val="24"/>
          <w:highlight w:val="none"/>
          <w:shd w:val="clear" w:fill="FFFFFF"/>
        </w:rPr>
        <w:t>1.2.14果皮箱、垃圾桶合理设置，每日清理，每周擦拭一次，箱(桶)无满溢、无异味、无污迹；</w:t>
      </w:r>
    </w:p>
    <w:p w14:paraId="7DAEFE65">
      <w:pPr>
        <w:pStyle w:val="4"/>
        <w:ind w:firstLine="480"/>
        <w:jc w:val="both"/>
        <w:rPr>
          <w:highlight w:val="none"/>
        </w:rPr>
      </w:pPr>
      <w:r>
        <w:rPr>
          <w:rFonts w:ascii="仿宋_GB2312" w:hAnsi="仿宋_GB2312" w:eastAsia="仿宋_GB2312" w:cs="仿宋_GB2312"/>
          <w:color w:val="000000"/>
          <w:sz w:val="24"/>
          <w:highlight w:val="none"/>
          <w:shd w:val="clear" w:fill="FFFFFF"/>
        </w:rPr>
        <w:t>1.2.15架空层地面、车棚、自行车停放点等每天清洁，架空层其它部分(含墙面、天棚、门窗、灯具、上下水管道等)；</w:t>
      </w:r>
    </w:p>
    <w:p w14:paraId="71DE69BD">
      <w:pPr>
        <w:pStyle w:val="4"/>
        <w:ind w:firstLine="480"/>
        <w:jc w:val="both"/>
        <w:rPr>
          <w:highlight w:val="none"/>
        </w:rPr>
      </w:pPr>
      <w:r>
        <w:rPr>
          <w:rFonts w:ascii="仿宋_GB2312" w:hAnsi="仿宋_GB2312" w:eastAsia="仿宋_GB2312" w:cs="仿宋_GB2312"/>
          <w:color w:val="000000"/>
          <w:sz w:val="24"/>
          <w:highlight w:val="none"/>
          <w:shd w:val="clear" w:fill="FFFFFF"/>
        </w:rPr>
        <w:t>1.2.16保证校区水池、湖面无杂物及垃圾，定期及时清洗景观池，保持池水清洁，及时清理产生的水中垃圾等；</w:t>
      </w:r>
    </w:p>
    <w:p w14:paraId="5DA32BB0">
      <w:pPr>
        <w:pStyle w:val="4"/>
        <w:ind w:firstLine="480"/>
        <w:jc w:val="both"/>
        <w:rPr>
          <w:highlight w:val="none"/>
        </w:rPr>
      </w:pPr>
      <w:r>
        <w:rPr>
          <w:rFonts w:ascii="仿宋_GB2312" w:hAnsi="仿宋_GB2312" w:eastAsia="仿宋_GB2312" w:cs="仿宋_GB2312"/>
          <w:color w:val="000000"/>
          <w:sz w:val="24"/>
          <w:highlight w:val="none"/>
          <w:shd w:val="clear" w:fill="FFFFFF"/>
        </w:rPr>
        <w:t>1.2.17电梯轿厢每天清扫1次，循环保洁，每2天擦抺厢、门壁1次，电梯轿厢卫生干净。每2月对电梯门壁打蜡上光1次，轿壁表面光亮，无污迹。</w:t>
      </w:r>
    </w:p>
    <w:p w14:paraId="1C661D58">
      <w:pPr>
        <w:pStyle w:val="4"/>
        <w:ind w:firstLine="480"/>
        <w:jc w:val="both"/>
        <w:rPr>
          <w:highlight w:val="none"/>
        </w:rPr>
      </w:pPr>
      <w:r>
        <w:rPr>
          <w:rFonts w:ascii="仿宋_GB2312" w:hAnsi="仿宋_GB2312" w:eastAsia="仿宋_GB2312" w:cs="仿宋_GB2312"/>
          <w:color w:val="000000"/>
          <w:sz w:val="24"/>
          <w:highlight w:val="none"/>
          <w:shd w:val="clear" w:fill="FFFFFF"/>
        </w:rPr>
        <w:t>1.2.18 洗手间、澡堂保洁时在门前放置“小心地滑”或“正在清洁中”等提示牌；每天2次全面保洁；小便池无积存尿液、无尿碱、无水锈，大便池无积存粪便，上下水通畅；地面无污垢、无积水、无烟头、无纸屑等杂物；卫生纸不乱扔；墙面顶棚、灯具完好干净，无尘土、无蜘蛛网，墙壁无乱写、乱画、乱贴；门窗、玻璃干净；室内无明显异昧；清洁工具定点悬挂放置、整齐、统一；墙面、瓷砖面、隔墙（含轻隔）、墙裙清洁干净，无污迹；洗手池、拖把池、冲水水箱等清洁、无污迹、污物；无乱搭放工具、物品，通排水正常、无积水；整容镜镜面明亮。</w:t>
      </w:r>
    </w:p>
    <w:p w14:paraId="09B46A5F">
      <w:pPr>
        <w:pStyle w:val="4"/>
        <w:ind w:firstLine="480"/>
        <w:jc w:val="both"/>
        <w:rPr>
          <w:highlight w:val="none"/>
        </w:rPr>
      </w:pPr>
      <w:r>
        <w:rPr>
          <w:rFonts w:ascii="仿宋_GB2312" w:hAnsi="仿宋_GB2312" w:eastAsia="仿宋_GB2312" w:cs="仿宋_GB2312"/>
          <w:color w:val="000000"/>
          <w:sz w:val="24"/>
          <w:highlight w:val="none"/>
          <w:shd w:val="clear" w:fill="FFFFFF"/>
        </w:rPr>
        <w:t>1.2.19每学期开学前清洗饮水机（学生宿舍除外）。</w:t>
      </w:r>
    </w:p>
    <w:p w14:paraId="69DB4A2A">
      <w:pPr>
        <w:pStyle w:val="4"/>
        <w:ind w:firstLine="480"/>
        <w:jc w:val="both"/>
        <w:rPr>
          <w:highlight w:val="none"/>
        </w:rPr>
      </w:pPr>
      <w:r>
        <w:rPr>
          <w:rFonts w:ascii="仿宋_GB2312" w:hAnsi="仿宋_GB2312" w:eastAsia="仿宋_GB2312" w:cs="仿宋_GB2312"/>
          <w:color w:val="000000"/>
          <w:sz w:val="24"/>
          <w:highlight w:val="none"/>
          <w:shd w:val="clear" w:fill="FFFFFF"/>
        </w:rPr>
        <w:t>1.2.20化粪池清理</w:t>
      </w:r>
    </w:p>
    <w:p w14:paraId="07D5C2DC">
      <w:pPr>
        <w:pStyle w:val="4"/>
        <w:ind w:firstLine="480"/>
        <w:jc w:val="both"/>
        <w:rPr>
          <w:highlight w:val="none"/>
        </w:rPr>
      </w:pPr>
      <w:r>
        <w:rPr>
          <w:rFonts w:ascii="仿宋_GB2312" w:hAnsi="仿宋_GB2312" w:eastAsia="仿宋_GB2312" w:cs="仿宋_GB2312"/>
          <w:color w:val="000000"/>
          <w:sz w:val="24"/>
          <w:highlight w:val="none"/>
          <w:shd w:val="clear" w:fill="FFFFFF"/>
        </w:rPr>
        <w:t>化粪池每学期放假后清理1次，有堵塞溢出2小时内清理，保证化粪池的正常使用通畅。学生公寓内污水管井，每学期至少疏通1次，有堵塞溢出2小时内疏通，保证污水管的通畅。其他区域的污水管要保证通畅，有堵塞溢出时2小时内疏通。食堂外侧的集污池和污水道管道疏通清理，每学期放假后清理1次；</w:t>
      </w:r>
    </w:p>
    <w:p w14:paraId="056CB06E">
      <w:pPr>
        <w:pStyle w:val="4"/>
        <w:ind w:firstLine="480"/>
        <w:jc w:val="both"/>
        <w:rPr>
          <w:highlight w:val="none"/>
        </w:rPr>
      </w:pPr>
      <w:r>
        <w:rPr>
          <w:rFonts w:ascii="仿宋_GB2312" w:hAnsi="仿宋_GB2312" w:eastAsia="仿宋_GB2312" w:cs="仿宋_GB2312"/>
          <w:color w:val="000000"/>
          <w:sz w:val="24"/>
          <w:highlight w:val="none"/>
          <w:shd w:val="clear" w:fill="FFFFFF"/>
        </w:rPr>
        <w:t>1.2.21水池清洗消毒及水质检测</w:t>
      </w:r>
    </w:p>
    <w:p w14:paraId="6A7B948B">
      <w:pPr>
        <w:pStyle w:val="4"/>
        <w:ind w:firstLine="480"/>
        <w:jc w:val="both"/>
        <w:rPr>
          <w:highlight w:val="none"/>
        </w:rPr>
      </w:pPr>
      <w:r>
        <w:rPr>
          <w:rFonts w:ascii="仿宋_GB2312" w:hAnsi="仿宋_GB2312" w:eastAsia="仿宋_GB2312" w:cs="仿宋_GB2312"/>
          <w:color w:val="000000"/>
          <w:sz w:val="24"/>
          <w:highlight w:val="none"/>
          <w:shd w:val="clear" w:fill="FFFFFF"/>
        </w:rPr>
        <w:t>自来水蓄水池及屋顶水箱清洗，寒暑假各一次；二次供水供管及清洗人员，应持有“健康合格证”方能从事本项工作，清洗结束还需对供水的相关设施进行检查（如浮球阀、抽水系统的控制浮漂，水泵控制器等），同时对水质进行取样送检，并提供检测报告；二次供水水池检查后及时上锁，并由专人保管钥匙，防止出现投毒、恶意污染水质等问题，确保用水水质安全。水池清洗及检测结果做好台账，</w:t>
      </w:r>
      <w:r>
        <w:rPr>
          <w:rFonts w:ascii="仿宋_GB2312" w:hAnsi="仿宋_GB2312" w:eastAsia="仿宋_GB2312" w:cs="仿宋_GB2312"/>
          <w:color w:val="000000"/>
          <w:sz w:val="24"/>
          <w:highlight w:val="none"/>
        </w:rPr>
        <w:t>满足学院相关工作要求。</w:t>
      </w:r>
    </w:p>
    <w:p w14:paraId="4CCD9A5E">
      <w:pPr>
        <w:pStyle w:val="4"/>
        <w:ind w:firstLine="480"/>
        <w:jc w:val="both"/>
        <w:rPr>
          <w:highlight w:val="none"/>
        </w:rPr>
      </w:pPr>
      <w:r>
        <w:rPr>
          <w:rFonts w:ascii="仿宋_GB2312" w:hAnsi="仿宋_GB2312" w:eastAsia="仿宋_GB2312" w:cs="仿宋_GB2312"/>
          <w:color w:val="000000"/>
          <w:sz w:val="24"/>
          <w:highlight w:val="none"/>
          <w:shd w:val="clear" w:fill="FFFFFF"/>
        </w:rPr>
        <w:t>1.2.22“四害”等消杀预防</w:t>
      </w:r>
    </w:p>
    <w:p w14:paraId="0793F592">
      <w:pPr>
        <w:pStyle w:val="4"/>
        <w:ind w:firstLine="480"/>
        <w:jc w:val="both"/>
        <w:rPr>
          <w:highlight w:val="none"/>
        </w:rPr>
      </w:pPr>
      <w:r>
        <w:rPr>
          <w:rFonts w:ascii="仿宋_GB2312" w:hAnsi="仿宋_GB2312" w:eastAsia="仿宋_GB2312" w:cs="仿宋_GB2312"/>
          <w:color w:val="000000"/>
          <w:sz w:val="24"/>
          <w:highlight w:val="none"/>
        </w:rPr>
        <w:t>按照福州市爱国卫生运动委员会办公室相关标准要求及行业标准，制定年度四害消杀计划；掌握区域内马蜂窝、红火蚁、白蚁窝的情况，做好即时消杀、处理；做好校园定期灭鼠工作，安装鼠药安全投放器，每月至少投放鼠药1次，遇特殊疫情或鼠患严重时需增加投放次数；宿舍片区春、夏、秋三季每月喷药灭蟑、灭蚊虫、灭苍蝇等药物2次，遇瘟疫及有害生物孳生旺季需增加喷洒、施放药物次数；春夏季，在蛇类活动期间，在楼栋外围周边、公共道路、绿化带交接处等区域投放驱蛇粉，每月1次。每次投放鼠药和消杀作业前，应提前3天在相关区域张贴通知，消杀药物必须是符合国家规定的消杀药品，浓度适中。每学年对文体中心木地板进行白蚁防治两次；消杀</w:t>
      </w:r>
      <w:r>
        <w:rPr>
          <w:rFonts w:ascii="仿宋_GB2312" w:hAnsi="仿宋_GB2312" w:eastAsia="仿宋_GB2312" w:cs="仿宋_GB2312"/>
          <w:color w:val="000000"/>
          <w:sz w:val="24"/>
          <w:highlight w:val="none"/>
          <w:shd w:val="clear" w:fill="FFFFFF"/>
        </w:rPr>
        <w:t>做好台账，</w:t>
      </w:r>
      <w:r>
        <w:rPr>
          <w:rFonts w:ascii="仿宋_GB2312" w:hAnsi="仿宋_GB2312" w:eastAsia="仿宋_GB2312" w:cs="仿宋_GB2312"/>
          <w:color w:val="000000"/>
          <w:sz w:val="24"/>
          <w:highlight w:val="none"/>
        </w:rPr>
        <w:t>满足学院相关工作要求。“四害”消杀、环境消杀、病虫害防治等所需药品费用由中标人负责，药品应符合国家和行业规定，每次使用要对药物名称、数量、使用情况进行记录，消杀药品应即购即用，用剩的药品，指派专人妥善保管。</w:t>
      </w:r>
    </w:p>
    <w:p w14:paraId="42ED0857">
      <w:pPr>
        <w:pStyle w:val="4"/>
        <w:ind w:firstLine="480"/>
        <w:jc w:val="both"/>
        <w:rPr>
          <w:highlight w:val="none"/>
        </w:rPr>
      </w:pPr>
      <w:r>
        <w:rPr>
          <w:rFonts w:ascii="仿宋_GB2312" w:hAnsi="仿宋_GB2312" w:eastAsia="仿宋_GB2312" w:cs="仿宋_GB2312"/>
          <w:color w:val="000000"/>
          <w:sz w:val="24"/>
          <w:highlight w:val="none"/>
          <w:shd w:val="clear" w:fill="FFFFFF"/>
        </w:rPr>
        <w:t>1.2.23积极配合学校做好临时性重大活动、上级检查等保洁工作，卫生保洁应达到学校提出的有关标准，如：文明单位、平安校园、迎新及毕业典礼、运动会、重要会议、重要来宾到访等。</w:t>
      </w:r>
    </w:p>
    <w:p w14:paraId="5B2BDB07">
      <w:pPr>
        <w:pStyle w:val="4"/>
        <w:ind w:firstLine="482"/>
        <w:jc w:val="both"/>
        <w:rPr>
          <w:highlight w:val="none"/>
        </w:rPr>
      </w:pPr>
      <w:r>
        <w:rPr>
          <w:rFonts w:ascii="仿宋_GB2312" w:hAnsi="仿宋_GB2312" w:eastAsia="仿宋_GB2312" w:cs="仿宋_GB2312"/>
          <w:b/>
          <w:color w:val="000000"/>
          <w:sz w:val="24"/>
          <w:highlight w:val="none"/>
          <w:shd w:val="clear" w:fill="FFFFFF"/>
        </w:rPr>
        <w:t>2.垃圾分类及清运服务要求</w:t>
      </w:r>
    </w:p>
    <w:p w14:paraId="29FD3295">
      <w:pPr>
        <w:pStyle w:val="4"/>
        <w:ind w:firstLine="482"/>
        <w:jc w:val="center"/>
        <w:rPr>
          <w:highlight w:val="none"/>
        </w:rPr>
      </w:pPr>
      <w:r>
        <w:rPr>
          <w:rFonts w:ascii="仿宋_GB2312" w:hAnsi="仿宋_GB2312" w:eastAsia="仿宋_GB2312" w:cs="仿宋_GB2312"/>
          <w:b/>
          <w:color w:val="000000"/>
          <w:sz w:val="24"/>
          <w:highlight w:val="none"/>
          <w:shd w:val="clear" w:fill="FFFFFF"/>
        </w:rPr>
        <w:t>校区垃圾处理、代清代运服务项目情况</w:t>
      </w:r>
    </w:p>
    <w:tbl>
      <w:tblPr>
        <w:tblStyle w:val="2"/>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644"/>
        <w:gridCol w:w="1568"/>
        <w:gridCol w:w="1176"/>
        <w:gridCol w:w="3123"/>
        <w:gridCol w:w="1778"/>
      </w:tblGrid>
      <w:tr w14:paraId="69D95FA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44" w:type="dxa"/>
            <w:tcBorders>
              <w:top w:val="single" w:color="000000" w:sz="4" w:space="0"/>
              <w:left w:val="single" w:color="000000" w:sz="4" w:space="0"/>
              <w:bottom w:val="single" w:color="000000" w:sz="4" w:space="0"/>
              <w:right w:val="single" w:color="000000" w:sz="4" w:space="0"/>
            </w:tcBorders>
            <w:tcMar>
              <w:top w:w="0" w:type="dxa"/>
              <w:left w:w="90" w:type="dxa"/>
              <w:bottom w:w="0" w:type="dxa"/>
              <w:right w:w="90" w:type="dxa"/>
            </w:tcMar>
            <w:vAlign w:val="top"/>
          </w:tcPr>
          <w:p w14:paraId="54CCF375">
            <w:pPr>
              <w:pStyle w:val="4"/>
              <w:jc w:val="left"/>
              <w:rPr>
                <w:highlight w:val="none"/>
              </w:rPr>
            </w:pPr>
            <w:r>
              <w:rPr>
                <w:rFonts w:ascii="仿宋_GB2312" w:hAnsi="仿宋_GB2312" w:eastAsia="仿宋_GB2312" w:cs="仿宋_GB2312"/>
                <w:color w:val="000000"/>
                <w:sz w:val="24"/>
                <w:highlight w:val="none"/>
              </w:rPr>
              <w:t>序号</w:t>
            </w:r>
          </w:p>
        </w:tc>
        <w:tc>
          <w:tcPr>
            <w:tcW w:w="1568" w:type="dxa"/>
            <w:tcBorders>
              <w:top w:val="single" w:color="000000" w:sz="4" w:space="0"/>
              <w:left w:val="nil"/>
              <w:bottom w:val="single" w:color="000000" w:sz="4" w:space="0"/>
              <w:right w:val="single" w:color="000000" w:sz="4" w:space="0"/>
            </w:tcBorders>
            <w:tcMar>
              <w:top w:w="0" w:type="dxa"/>
              <w:left w:w="90" w:type="dxa"/>
              <w:bottom w:w="0" w:type="dxa"/>
              <w:right w:w="90" w:type="dxa"/>
            </w:tcMar>
            <w:vAlign w:val="top"/>
          </w:tcPr>
          <w:p w14:paraId="04798849">
            <w:pPr>
              <w:pStyle w:val="4"/>
              <w:jc w:val="center"/>
              <w:rPr>
                <w:highlight w:val="none"/>
              </w:rPr>
            </w:pPr>
            <w:r>
              <w:rPr>
                <w:rFonts w:ascii="仿宋_GB2312" w:hAnsi="仿宋_GB2312" w:eastAsia="仿宋_GB2312" w:cs="仿宋_GB2312"/>
                <w:color w:val="000000"/>
                <w:sz w:val="24"/>
                <w:highlight w:val="none"/>
              </w:rPr>
              <w:t>项目</w:t>
            </w:r>
          </w:p>
        </w:tc>
        <w:tc>
          <w:tcPr>
            <w:tcW w:w="1176" w:type="dxa"/>
            <w:tcBorders>
              <w:top w:val="single" w:color="000000" w:sz="4" w:space="0"/>
              <w:left w:val="nil"/>
              <w:bottom w:val="single" w:color="000000" w:sz="4" w:space="0"/>
              <w:right w:val="single" w:color="000000" w:sz="4" w:space="0"/>
            </w:tcBorders>
            <w:tcMar>
              <w:top w:w="0" w:type="dxa"/>
              <w:left w:w="90" w:type="dxa"/>
              <w:bottom w:w="0" w:type="dxa"/>
              <w:right w:w="90" w:type="dxa"/>
            </w:tcMar>
            <w:vAlign w:val="top"/>
          </w:tcPr>
          <w:p w14:paraId="0E85BFD7">
            <w:pPr>
              <w:pStyle w:val="4"/>
              <w:jc w:val="center"/>
              <w:rPr>
                <w:highlight w:val="none"/>
              </w:rPr>
            </w:pPr>
            <w:r>
              <w:rPr>
                <w:rFonts w:ascii="仿宋_GB2312" w:hAnsi="仿宋_GB2312" w:eastAsia="仿宋_GB2312" w:cs="仿宋_GB2312"/>
                <w:color w:val="000000"/>
                <w:sz w:val="24"/>
                <w:highlight w:val="none"/>
              </w:rPr>
              <w:t>日产量</w:t>
            </w:r>
          </w:p>
        </w:tc>
        <w:tc>
          <w:tcPr>
            <w:tcW w:w="3123" w:type="dxa"/>
            <w:tcBorders>
              <w:top w:val="single" w:color="000000" w:sz="4" w:space="0"/>
              <w:left w:val="nil"/>
              <w:bottom w:val="single" w:color="000000" w:sz="4" w:space="0"/>
              <w:right w:val="single" w:color="000000" w:sz="4" w:space="0"/>
            </w:tcBorders>
            <w:tcMar>
              <w:top w:w="0" w:type="dxa"/>
              <w:left w:w="90" w:type="dxa"/>
              <w:bottom w:w="0" w:type="dxa"/>
              <w:right w:w="90" w:type="dxa"/>
            </w:tcMar>
            <w:vAlign w:val="top"/>
          </w:tcPr>
          <w:p w14:paraId="34237F47">
            <w:pPr>
              <w:pStyle w:val="4"/>
              <w:jc w:val="center"/>
              <w:rPr>
                <w:highlight w:val="none"/>
              </w:rPr>
            </w:pPr>
            <w:r>
              <w:rPr>
                <w:rFonts w:ascii="仿宋_GB2312" w:hAnsi="仿宋_GB2312" w:eastAsia="仿宋_GB2312" w:cs="仿宋_GB2312"/>
                <w:color w:val="000000"/>
                <w:sz w:val="24"/>
                <w:highlight w:val="none"/>
              </w:rPr>
              <w:t>主要垃圾情况</w:t>
            </w:r>
          </w:p>
        </w:tc>
        <w:tc>
          <w:tcPr>
            <w:tcW w:w="1778" w:type="dxa"/>
            <w:tcBorders>
              <w:top w:val="single" w:color="000000" w:sz="4" w:space="0"/>
              <w:left w:val="nil"/>
              <w:bottom w:val="single" w:color="000000" w:sz="4" w:space="0"/>
              <w:right w:val="single" w:color="000000" w:sz="4" w:space="0"/>
            </w:tcBorders>
            <w:tcMar>
              <w:top w:w="0" w:type="dxa"/>
              <w:left w:w="90" w:type="dxa"/>
              <w:bottom w:w="0" w:type="dxa"/>
              <w:right w:w="90" w:type="dxa"/>
            </w:tcMar>
            <w:vAlign w:val="top"/>
          </w:tcPr>
          <w:p w14:paraId="22B2630F">
            <w:pPr>
              <w:pStyle w:val="4"/>
              <w:jc w:val="center"/>
              <w:rPr>
                <w:highlight w:val="none"/>
              </w:rPr>
            </w:pPr>
            <w:r>
              <w:rPr>
                <w:rFonts w:ascii="仿宋_GB2312" w:hAnsi="仿宋_GB2312" w:eastAsia="仿宋_GB2312" w:cs="仿宋_GB2312"/>
                <w:color w:val="000000"/>
                <w:sz w:val="24"/>
                <w:highlight w:val="none"/>
              </w:rPr>
              <w:t>垃圾点数量</w:t>
            </w:r>
          </w:p>
        </w:tc>
      </w:tr>
      <w:tr w14:paraId="791C347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44" w:type="dxa"/>
            <w:tcBorders>
              <w:top w:val="nil"/>
              <w:left w:val="single" w:color="000000" w:sz="4" w:space="0"/>
              <w:bottom w:val="single" w:color="000000" w:sz="4" w:space="0"/>
              <w:right w:val="single" w:color="000000" w:sz="4" w:space="0"/>
            </w:tcBorders>
            <w:tcMar>
              <w:top w:w="0" w:type="dxa"/>
              <w:left w:w="90" w:type="dxa"/>
              <w:bottom w:w="0" w:type="dxa"/>
              <w:right w:w="90" w:type="dxa"/>
            </w:tcMar>
            <w:vAlign w:val="top"/>
          </w:tcPr>
          <w:p w14:paraId="083EEF14">
            <w:pPr>
              <w:pStyle w:val="4"/>
              <w:jc w:val="center"/>
              <w:rPr>
                <w:highlight w:val="none"/>
              </w:rPr>
            </w:pPr>
            <w:r>
              <w:rPr>
                <w:rFonts w:ascii="仿宋_GB2312" w:hAnsi="仿宋_GB2312" w:eastAsia="仿宋_GB2312" w:cs="仿宋_GB2312"/>
                <w:color w:val="000000"/>
                <w:sz w:val="24"/>
                <w:highlight w:val="none"/>
              </w:rPr>
              <w:t>1</w:t>
            </w:r>
          </w:p>
        </w:tc>
        <w:tc>
          <w:tcPr>
            <w:tcW w:w="1568" w:type="dxa"/>
            <w:tcBorders>
              <w:top w:val="nil"/>
              <w:left w:val="nil"/>
              <w:bottom w:val="single" w:color="000000" w:sz="4" w:space="0"/>
              <w:right w:val="single" w:color="000000" w:sz="4" w:space="0"/>
            </w:tcBorders>
            <w:tcMar>
              <w:top w:w="0" w:type="dxa"/>
              <w:left w:w="90" w:type="dxa"/>
              <w:bottom w:w="0" w:type="dxa"/>
              <w:right w:w="90" w:type="dxa"/>
            </w:tcMar>
            <w:vAlign w:val="top"/>
          </w:tcPr>
          <w:p w14:paraId="743A8778">
            <w:pPr>
              <w:pStyle w:val="4"/>
              <w:jc w:val="both"/>
              <w:rPr>
                <w:highlight w:val="none"/>
              </w:rPr>
            </w:pPr>
            <w:r>
              <w:rPr>
                <w:rFonts w:ascii="仿宋_GB2312" w:hAnsi="仿宋_GB2312" w:eastAsia="仿宋_GB2312" w:cs="仿宋_GB2312"/>
                <w:color w:val="000000"/>
                <w:sz w:val="24"/>
                <w:highlight w:val="none"/>
              </w:rPr>
              <w:t>校区垃圾处理、代清代运服务项目</w:t>
            </w:r>
          </w:p>
        </w:tc>
        <w:tc>
          <w:tcPr>
            <w:tcW w:w="1176" w:type="dxa"/>
            <w:tcBorders>
              <w:top w:val="nil"/>
              <w:left w:val="nil"/>
              <w:bottom w:val="single" w:color="000000" w:sz="4" w:space="0"/>
              <w:right w:val="single" w:color="000000" w:sz="4" w:space="0"/>
            </w:tcBorders>
            <w:tcMar>
              <w:top w:w="0" w:type="dxa"/>
              <w:left w:w="90" w:type="dxa"/>
              <w:bottom w:w="0" w:type="dxa"/>
              <w:right w:w="90" w:type="dxa"/>
            </w:tcMar>
            <w:vAlign w:val="top"/>
          </w:tcPr>
          <w:p w14:paraId="541B2DE9">
            <w:pPr>
              <w:pStyle w:val="4"/>
              <w:jc w:val="both"/>
              <w:rPr>
                <w:highlight w:val="none"/>
              </w:rPr>
            </w:pPr>
            <w:r>
              <w:rPr>
                <w:rFonts w:ascii="仿宋_GB2312" w:hAnsi="仿宋_GB2312" w:eastAsia="仿宋_GB2312" w:cs="仿宋_GB2312"/>
                <w:color w:val="000000"/>
                <w:sz w:val="24"/>
                <w:highlight w:val="none"/>
              </w:rPr>
              <w:t>约20T(以实际为准)</w:t>
            </w:r>
          </w:p>
        </w:tc>
        <w:tc>
          <w:tcPr>
            <w:tcW w:w="3123" w:type="dxa"/>
            <w:tcBorders>
              <w:top w:val="nil"/>
              <w:left w:val="nil"/>
              <w:bottom w:val="single" w:color="000000" w:sz="4" w:space="0"/>
              <w:right w:val="single" w:color="000000" w:sz="4" w:space="0"/>
            </w:tcBorders>
            <w:tcMar>
              <w:top w:w="0" w:type="dxa"/>
              <w:left w:w="90" w:type="dxa"/>
              <w:bottom w:w="0" w:type="dxa"/>
              <w:right w:w="90" w:type="dxa"/>
            </w:tcMar>
            <w:vAlign w:val="top"/>
          </w:tcPr>
          <w:p w14:paraId="3C7B8CBE">
            <w:pPr>
              <w:pStyle w:val="4"/>
              <w:jc w:val="center"/>
              <w:rPr>
                <w:highlight w:val="none"/>
              </w:rPr>
            </w:pPr>
            <w:r>
              <w:rPr>
                <w:rFonts w:ascii="仿宋_GB2312" w:hAnsi="仿宋_GB2312" w:eastAsia="仿宋_GB2312" w:cs="仿宋_GB2312"/>
                <w:color w:val="000000"/>
                <w:sz w:val="24"/>
                <w:highlight w:val="none"/>
              </w:rPr>
              <w:t>日常生活垃圾、绿化枯枝树叶、生活垃圾，含报废木质桌椅、沙发、家具及无人认领的装修、建筑垃圾等所有垃圾。</w:t>
            </w:r>
          </w:p>
        </w:tc>
        <w:tc>
          <w:tcPr>
            <w:tcW w:w="1778" w:type="dxa"/>
            <w:tcBorders>
              <w:top w:val="nil"/>
              <w:left w:val="nil"/>
              <w:bottom w:val="single" w:color="000000" w:sz="4" w:space="0"/>
              <w:right w:val="single" w:color="000000" w:sz="4" w:space="0"/>
            </w:tcBorders>
            <w:tcMar>
              <w:top w:w="0" w:type="dxa"/>
              <w:left w:w="90" w:type="dxa"/>
              <w:bottom w:w="0" w:type="dxa"/>
              <w:right w:w="90" w:type="dxa"/>
            </w:tcMar>
            <w:vAlign w:val="top"/>
          </w:tcPr>
          <w:p w14:paraId="1768D406">
            <w:pPr>
              <w:pStyle w:val="4"/>
              <w:jc w:val="center"/>
              <w:rPr>
                <w:highlight w:val="none"/>
              </w:rPr>
            </w:pPr>
            <w:r>
              <w:rPr>
                <w:rFonts w:ascii="仿宋_GB2312" w:hAnsi="仿宋_GB2312" w:eastAsia="仿宋_GB2312" w:cs="仿宋_GB2312"/>
                <w:color w:val="000000"/>
                <w:sz w:val="24"/>
                <w:highlight w:val="none"/>
              </w:rPr>
              <w:t>现有大、小垃圾点6个左右(具体位置以实际为准)</w:t>
            </w:r>
          </w:p>
        </w:tc>
      </w:tr>
    </w:tbl>
    <w:p w14:paraId="79F76FCA">
      <w:pPr>
        <w:pStyle w:val="4"/>
        <w:ind w:firstLine="480"/>
        <w:jc w:val="both"/>
        <w:rPr>
          <w:highlight w:val="none"/>
        </w:rPr>
      </w:pPr>
      <w:r>
        <w:rPr>
          <w:rFonts w:ascii="仿宋_GB2312" w:hAnsi="仿宋_GB2312" w:eastAsia="仿宋_GB2312" w:cs="仿宋_GB2312"/>
          <w:color w:val="000000"/>
          <w:sz w:val="24"/>
          <w:highlight w:val="none"/>
          <w:shd w:val="clear" w:fill="FFFFFF"/>
        </w:rPr>
        <w:t>注：每日垃圾清运至少两次，垃圾清运时间：上午下午各一次。垃圾桶内垃圾达到2/3时必须随时清运。垃圾定点存放、及时处理、日产日清，无隔夜垃圾。所有垃圾分类屋一天至少两次做好清运，必要时应增加清理次数，同时每周至少进行一次垃圾分类屋的清洗，消除异味。</w:t>
      </w:r>
    </w:p>
    <w:p w14:paraId="7EE5FD09">
      <w:pPr>
        <w:pStyle w:val="4"/>
        <w:ind w:firstLine="482"/>
        <w:jc w:val="both"/>
        <w:rPr>
          <w:highlight w:val="none"/>
        </w:rPr>
      </w:pPr>
      <w:r>
        <w:rPr>
          <w:rFonts w:ascii="仿宋_GB2312" w:hAnsi="仿宋_GB2312" w:eastAsia="仿宋_GB2312" w:cs="仿宋_GB2312"/>
          <w:b/>
          <w:color w:val="000000"/>
          <w:sz w:val="24"/>
          <w:highlight w:val="none"/>
          <w:shd w:val="clear" w:fill="FFFFFF"/>
        </w:rPr>
        <w:t>2.1垃圾分类工作</w:t>
      </w:r>
    </w:p>
    <w:p w14:paraId="15F9DE5C">
      <w:pPr>
        <w:pStyle w:val="4"/>
        <w:ind w:firstLine="480"/>
        <w:jc w:val="both"/>
        <w:rPr>
          <w:highlight w:val="none"/>
        </w:rPr>
      </w:pPr>
      <w:r>
        <w:rPr>
          <w:rFonts w:ascii="仿宋_GB2312" w:hAnsi="仿宋_GB2312" w:eastAsia="仿宋_GB2312" w:cs="仿宋_GB2312"/>
          <w:color w:val="000000"/>
          <w:sz w:val="24"/>
          <w:highlight w:val="none"/>
          <w:shd w:val="clear" w:fill="FFFFFF"/>
        </w:rPr>
        <w:t>2.1.1严格按照《福州市生活垃圾分类管理条例》的要求做好垃圾分类，同时做好垃圾分类宣传、指导、清理、清运工作，中标的物业公司为垃圾分类投放管理的责任人。</w:t>
      </w:r>
    </w:p>
    <w:p w14:paraId="270762CF">
      <w:pPr>
        <w:pStyle w:val="4"/>
        <w:ind w:firstLine="480"/>
        <w:jc w:val="both"/>
        <w:rPr>
          <w:highlight w:val="none"/>
        </w:rPr>
      </w:pPr>
      <w:r>
        <w:rPr>
          <w:rFonts w:ascii="仿宋_GB2312" w:hAnsi="仿宋_GB2312" w:eastAsia="仿宋_GB2312" w:cs="仿宋_GB2312"/>
          <w:color w:val="000000"/>
          <w:sz w:val="24"/>
          <w:highlight w:val="none"/>
          <w:shd w:val="clear" w:fill="FFFFFF"/>
        </w:rPr>
        <w:t>2.1.2当师生为对垃圾进行分类投放时，有对师生进行宣传、指导、监督和服务的义务，引导师生对生活垃圾自觉分类；</w:t>
      </w:r>
    </w:p>
    <w:p w14:paraId="1601BEF0">
      <w:pPr>
        <w:pStyle w:val="4"/>
        <w:ind w:firstLine="480"/>
        <w:jc w:val="both"/>
        <w:rPr>
          <w:highlight w:val="none"/>
        </w:rPr>
      </w:pPr>
      <w:r>
        <w:rPr>
          <w:rFonts w:ascii="仿宋_GB2312" w:hAnsi="仿宋_GB2312" w:eastAsia="仿宋_GB2312" w:cs="仿宋_GB2312"/>
          <w:color w:val="000000"/>
          <w:sz w:val="24"/>
          <w:highlight w:val="none"/>
          <w:shd w:val="clear" w:fill="FFFFFF"/>
        </w:rPr>
        <w:t>2.1.3将垃圾按要求进行细致的分类并做好相关记录，以便分类收集、运输、处置；</w:t>
      </w:r>
    </w:p>
    <w:p w14:paraId="5A9A7758">
      <w:pPr>
        <w:pStyle w:val="4"/>
        <w:ind w:firstLine="480"/>
        <w:jc w:val="both"/>
        <w:rPr>
          <w:highlight w:val="none"/>
        </w:rPr>
      </w:pPr>
      <w:r>
        <w:rPr>
          <w:rFonts w:ascii="仿宋_GB2312" w:hAnsi="仿宋_GB2312" w:eastAsia="仿宋_GB2312" w:cs="仿宋_GB2312"/>
          <w:color w:val="000000"/>
          <w:sz w:val="24"/>
          <w:highlight w:val="none"/>
          <w:shd w:val="clear" w:fill="FFFFFF"/>
        </w:rPr>
        <w:t>2.1.4分拣垃圾时要迅速及时、全面彻底，不可将垃圾散落在地上，确保日产日清；</w:t>
      </w:r>
    </w:p>
    <w:p w14:paraId="522FAFFC">
      <w:pPr>
        <w:pStyle w:val="4"/>
        <w:ind w:firstLine="480"/>
        <w:jc w:val="both"/>
        <w:rPr>
          <w:highlight w:val="none"/>
        </w:rPr>
      </w:pPr>
      <w:r>
        <w:rPr>
          <w:rFonts w:ascii="仿宋_GB2312" w:hAnsi="仿宋_GB2312" w:eastAsia="仿宋_GB2312" w:cs="仿宋_GB2312"/>
          <w:color w:val="000000"/>
          <w:sz w:val="24"/>
          <w:highlight w:val="none"/>
          <w:shd w:val="clear" w:fill="FFFFFF"/>
        </w:rPr>
        <w:t>2.1.5垃圾收集桶摆放整齐，保持垃圾桶清洁卫生，排污沟渠畅通，无污水积聚，垃圾无满溢、散落现象；</w:t>
      </w:r>
    </w:p>
    <w:p w14:paraId="224181A8">
      <w:pPr>
        <w:pStyle w:val="4"/>
        <w:ind w:firstLine="480"/>
        <w:jc w:val="both"/>
        <w:rPr>
          <w:highlight w:val="none"/>
        </w:rPr>
      </w:pPr>
      <w:r>
        <w:rPr>
          <w:rFonts w:ascii="仿宋_GB2312" w:hAnsi="仿宋_GB2312" w:eastAsia="仿宋_GB2312" w:cs="仿宋_GB2312"/>
          <w:color w:val="000000"/>
          <w:sz w:val="24"/>
          <w:highlight w:val="none"/>
          <w:shd w:val="clear" w:fill="FFFFFF"/>
        </w:rPr>
        <w:t>2.1.6每日结束分类工作必须对分拣点进行彻底打扫，放置垃圾桶的地面与墙面及周边保持清洁，无污迹，并做好工具的清洁工作；分类标准须符合有关部门要求。</w:t>
      </w:r>
    </w:p>
    <w:p w14:paraId="09B64D91">
      <w:pPr>
        <w:pStyle w:val="4"/>
        <w:ind w:firstLine="482"/>
        <w:jc w:val="both"/>
        <w:rPr>
          <w:highlight w:val="none"/>
        </w:rPr>
      </w:pPr>
      <w:r>
        <w:rPr>
          <w:rFonts w:ascii="仿宋_GB2312" w:hAnsi="仿宋_GB2312" w:eastAsia="仿宋_GB2312" w:cs="仿宋_GB2312"/>
          <w:b/>
          <w:color w:val="000000"/>
          <w:sz w:val="24"/>
          <w:highlight w:val="none"/>
          <w:shd w:val="clear" w:fill="FFFFFF"/>
        </w:rPr>
        <w:t>2.2垃圾清运工作</w:t>
      </w:r>
    </w:p>
    <w:p w14:paraId="64777931">
      <w:pPr>
        <w:pStyle w:val="4"/>
        <w:ind w:firstLine="480"/>
        <w:jc w:val="both"/>
        <w:rPr>
          <w:highlight w:val="none"/>
        </w:rPr>
      </w:pPr>
      <w:r>
        <w:rPr>
          <w:rFonts w:ascii="仿宋_GB2312" w:hAnsi="仿宋_GB2312" w:eastAsia="仿宋_GB2312" w:cs="仿宋_GB2312"/>
          <w:color w:val="000000"/>
          <w:sz w:val="24"/>
          <w:highlight w:val="none"/>
          <w:shd w:val="clear" w:fill="FFFFFF"/>
        </w:rPr>
        <w:t>2.2.1垃圾清运范围为学校教学区、生活区、实训楼、餐厅指定垃圾堆放点所有的生活垃圾、教学垃圾、办公垃圾、绿化垃圾等。</w:t>
      </w:r>
    </w:p>
    <w:p w14:paraId="2D1BE950">
      <w:pPr>
        <w:pStyle w:val="4"/>
        <w:ind w:firstLine="480"/>
        <w:jc w:val="both"/>
        <w:rPr>
          <w:highlight w:val="none"/>
        </w:rPr>
      </w:pPr>
      <w:r>
        <w:rPr>
          <w:rFonts w:ascii="仿宋_GB2312" w:hAnsi="仿宋_GB2312" w:eastAsia="仿宋_GB2312" w:cs="仿宋_GB2312"/>
          <w:color w:val="000000"/>
          <w:sz w:val="24"/>
          <w:highlight w:val="none"/>
          <w:shd w:val="clear" w:fill="FFFFFF"/>
        </w:rPr>
        <w:t>2.2.3配备学校专属的挂桶垃圾压缩车（2.5吨以上），并做到24小时校区内待命，车容整洁，标志清晰；垃圾密闭运输，无垃圾拖挂、散落，无污水滴漏。投标人须提供书面承诺，否则视为无效投标。</w:t>
      </w:r>
    </w:p>
    <w:p w14:paraId="12427842">
      <w:pPr>
        <w:pStyle w:val="4"/>
        <w:ind w:firstLine="480"/>
        <w:jc w:val="both"/>
        <w:rPr>
          <w:highlight w:val="none"/>
        </w:rPr>
      </w:pPr>
      <w:r>
        <w:rPr>
          <w:rFonts w:ascii="仿宋_GB2312" w:hAnsi="仿宋_GB2312" w:eastAsia="仿宋_GB2312" w:cs="仿宋_GB2312"/>
          <w:color w:val="000000"/>
          <w:sz w:val="24"/>
          <w:highlight w:val="none"/>
          <w:shd w:val="clear" w:fill="FFFFFF"/>
        </w:rPr>
        <w:t>2.2.4垃圾临时堆集点（垃圾池、垃圾房）内外场地应整洁，无撒落垃圾和堆积杂物，无积留污水；池内无恶臭；蚊蝇孳生季节，应每天喷药灭蚊蝇；严禁焚烧垃圾。</w:t>
      </w:r>
    </w:p>
    <w:p w14:paraId="67365CAF">
      <w:pPr>
        <w:pStyle w:val="4"/>
        <w:ind w:firstLine="480"/>
        <w:jc w:val="both"/>
        <w:rPr>
          <w:highlight w:val="none"/>
        </w:rPr>
      </w:pPr>
      <w:r>
        <w:rPr>
          <w:rFonts w:ascii="仿宋_GB2312" w:hAnsi="仿宋_GB2312" w:eastAsia="仿宋_GB2312" w:cs="仿宋_GB2312"/>
          <w:color w:val="000000"/>
          <w:sz w:val="24"/>
          <w:highlight w:val="none"/>
          <w:shd w:val="clear" w:fill="FFFFFF"/>
        </w:rPr>
        <w:t>2.2.5垃圾外运费用由中标方负责。</w:t>
      </w:r>
    </w:p>
    <w:p w14:paraId="15E5167F">
      <w:pPr>
        <w:pStyle w:val="4"/>
        <w:ind w:firstLine="480"/>
        <w:jc w:val="both"/>
        <w:rPr>
          <w:highlight w:val="none"/>
        </w:rPr>
      </w:pPr>
      <w:r>
        <w:rPr>
          <w:rFonts w:ascii="仿宋_GB2312" w:hAnsi="仿宋_GB2312" w:eastAsia="仿宋_GB2312" w:cs="仿宋_GB2312"/>
          <w:color w:val="000000"/>
          <w:sz w:val="24"/>
          <w:highlight w:val="none"/>
          <w:shd w:val="clear" w:fill="FFFFFF"/>
        </w:rPr>
        <w:t>2.2.6做好垃圾清运台账，</w:t>
      </w:r>
      <w:r>
        <w:rPr>
          <w:rFonts w:ascii="仿宋_GB2312" w:hAnsi="仿宋_GB2312" w:eastAsia="仿宋_GB2312" w:cs="仿宋_GB2312"/>
          <w:color w:val="000000"/>
          <w:sz w:val="24"/>
          <w:highlight w:val="none"/>
        </w:rPr>
        <w:t>满足学院相关工作要求。</w:t>
      </w:r>
    </w:p>
    <w:p w14:paraId="6357EEB1">
      <w:pPr>
        <w:pStyle w:val="4"/>
        <w:ind w:firstLine="482"/>
        <w:jc w:val="both"/>
        <w:rPr>
          <w:highlight w:val="none"/>
        </w:rPr>
      </w:pPr>
      <w:r>
        <w:rPr>
          <w:rFonts w:ascii="仿宋_GB2312" w:hAnsi="仿宋_GB2312" w:eastAsia="仿宋_GB2312" w:cs="仿宋_GB2312"/>
          <w:b/>
          <w:color w:val="000000"/>
          <w:sz w:val="24"/>
          <w:highlight w:val="none"/>
          <w:shd w:val="clear" w:fill="FFFFFF"/>
        </w:rPr>
        <w:t>3.学生宿舍管理服务要求</w:t>
      </w:r>
    </w:p>
    <w:p w14:paraId="5BB511E9">
      <w:pPr>
        <w:pStyle w:val="4"/>
        <w:ind w:firstLine="480"/>
        <w:jc w:val="both"/>
        <w:rPr>
          <w:highlight w:val="none"/>
        </w:rPr>
      </w:pPr>
      <w:r>
        <w:rPr>
          <w:rFonts w:ascii="仿宋_GB2312" w:hAnsi="仿宋_GB2312" w:eastAsia="仿宋_GB2312" w:cs="仿宋_GB2312"/>
          <w:color w:val="000000"/>
          <w:sz w:val="24"/>
          <w:highlight w:val="none"/>
          <w:shd w:val="clear" w:fill="FFFFFF"/>
        </w:rPr>
        <w:t>3.1服务内容：值勤、报修、卫生检查、钥匙管理、用水用电安全检查、公用设施管理、巡查等。宿舍管理需要的登记本、清洁用品等材料均由中标人提供。</w:t>
      </w:r>
    </w:p>
    <w:p w14:paraId="192BD399">
      <w:pPr>
        <w:pStyle w:val="4"/>
        <w:ind w:firstLine="480"/>
        <w:jc w:val="both"/>
        <w:rPr>
          <w:highlight w:val="none"/>
        </w:rPr>
      </w:pPr>
      <w:r>
        <w:rPr>
          <w:rFonts w:ascii="仿宋_GB2312" w:hAnsi="仿宋_GB2312" w:eastAsia="仿宋_GB2312" w:cs="仿宋_GB2312"/>
          <w:color w:val="000000"/>
          <w:sz w:val="24"/>
          <w:highlight w:val="none"/>
          <w:shd w:val="clear" w:fill="FFFFFF"/>
        </w:rPr>
        <w:t>3.2服务要求</w:t>
      </w:r>
    </w:p>
    <w:p w14:paraId="5E6B879F">
      <w:pPr>
        <w:pStyle w:val="4"/>
        <w:ind w:firstLine="480"/>
        <w:jc w:val="both"/>
        <w:rPr>
          <w:highlight w:val="none"/>
        </w:rPr>
      </w:pPr>
      <w:r>
        <w:rPr>
          <w:rFonts w:ascii="仿宋_GB2312" w:hAnsi="仿宋_GB2312" w:eastAsia="仿宋_GB2312" w:cs="仿宋_GB2312"/>
          <w:color w:val="000000"/>
          <w:sz w:val="24"/>
          <w:highlight w:val="none"/>
          <w:shd w:val="clear" w:fill="FFFFFF"/>
        </w:rPr>
        <w:t>3.2.1 交接班要求：学生宿舍楼实行24小时有人值守，管理员要在服务台或指定位置值班，工作时间不得缺岗、离岗、串岗、娱乐、聊天、睡觉，不得从事任何与工作无关的事情。根据排班规定时间提前10分钟交接班，调班申请报备；接班人未到，交班人不得擅自离岗；交接班时，下班人员要把本班的工作情况详细交代给下一班，以便下一班开展工作；钥匙、工具等物品要交接清楚，并在交接班记录上签名。</w:t>
      </w:r>
    </w:p>
    <w:p w14:paraId="668FD30A">
      <w:pPr>
        <w:pStyle w:val="4"/>
        <w:ind w:firstLine="480"/>
        <w:jc w:val="both"/>
        <w:rPr>
          <w:highlight w:val="none"/>
        </w:rPr>
      </w:pPr>
      <w:r>
        <w:rPr>
          <w:rFonts w:ascii="仿宋_GB2312" w:hAnsi="仿宋_GB2312" w:eastAsia="仿宋_GB2312" w:cs="仿宋_GB2312"/>
          <w:color w:val="000000"/>
          <w:sz w:val="24"/>
          <w:highlight w:val="none"/>
          <w:shd w:val="clear" w:fill="FFFFFF"/>
        </w:rPr>
        <w:t>3.2.2 大件物品登记：大物件带出要查清情况，并登记携带者名字、所属院系、宿舍号、联系电话、离开时间；</w:t>
      </w:r>
    </w:p>
    <w:p w14:paraId="3AAADFC5">
      <w:pPr>
        <w:pStyle w:val="4"/>
        <w:ind w:firstLine="480"/>
        <w:jc w:val="both"/>
        <w:rPr>
          <w:highlight w:val="none"/>
        </w:rPr>
      </w:pPr>
      <w:r>
        <w:rPr>
          <w:rFonts w:ascii="仿宋_GB2312" w:hAnsi="仿宋_GB2312" w:eastAsia="仿宋_GB2312" w:cs="仿宋_GB2312"/>
          <w:color w:val="000000"/>
          <w:sz w:val="24"/>
          <w:highlight w:val="none"/>
          <w:shd w:val="clear" w:fill="FFFFFF"/>
        </w:rPr>
        <w:t>3.2.3 钥匙借用与保管：宿舍钥匙管理到位，无学生私自跟换门锁或增加挂锁情况。钥匙由专人保管，原则上不得借给学生使用。特殊情况下学生借用钥匙必须经审批，并抵押借用人有效证件，并登记借用人名字、宿舍号、联系方式、借用及归还时间，经认真核实、详细登记后方可借出，并应及时索还；突发紧急情况、涉及生命财产安全等情况下，管理人员应能第一时间准确提供所需钥匙，事后应及时办理登记手续；其他情况一律不得借出。因管理员对钥匙保管不善导致学生的财物被盗，由中标人负责赔偿。</w:t>
      </w:r>
    </w:p>
    <w:p w14:paraId="6203906D">
      <w:pPr>
        <w:pStyle w:val="4"/>
        <w:ind w:firstLine="480"/>
        <w:jc w:val="both"/>
        <w:rPr>
          <w:highlight w:val="none"/>
        </w:rPr>
      </w:pPr>
      <w:r>
        <w:rPr>
          <w:rFonts w:ascii="仿宋_GB2312" w:hAnsi="仿宋_GB2312" w:eastAsia="仿宋_GB2312" w:cs="仿宋_GB2312"/>
          <w:color w:val="000000"/>
          <w:sz w:val="24"/>
          <w:highlight w:val="none"/>
          <w:shd w:val="clear" w:fill="FFFFFF"/>
        </w:rPr>
        <w:t>3.2.4危险品管理：禁用大功率电器、明火设备，禁带易燃易爆有毒物品。禁止在值班室煮饭炒菜；</w:t>
      </w:r>
    </w:p>
    <w:p w14:paraId="0AC5E726">
      <w:pPr>
        <w:pStyle w:val="4"/>
        <w:ind w:firstLine="480"/>
        <w:jc w:val="both"/>
        <w:rPr>
          <w:highlight w:val="none"/>
        </w:rPr>
      </w:pPr>
      <w:r>
        <w:rPr>
          <w:rFonts w:ascii="仿宋_GB2312" w:hAnsi="仿宋_GB2312" w:eastAsia="仿宋_GB2312" w:cs="仿宋_GB2312"/>
          <w:color w:val="000000"/>
          <w:sz w:val="24"/>
          <w:highlight w:val="none"/>
          <w:shd w:val="clear" w:fill="FFFFFF"/>
        </w:rPr>
        <w:t>3.2.5学生需求管理：对学生的相关需求提供力所能及的服务，不能满足的做好登记并报告相关部门或负责人，学生宿舍管理服务实行24小时制；</w:t>
      </w:r>
    </w:p>
    <w:p w14:paraId="2299B1DB">
      <w:pPr>
        <w:pStyle w:val="4"/>
        <w:ind w:firstLine="480"/>
        <w:jc w:val="both"/>
        <w:rPr>
          <w:highlight w:val="none"/>
        </w:rPr>
      </w:pPr>
      <w:r>
        <w:rPr>
          <w:rFonts w:ascii="仿宋_GB2312" w:hAnsi="仿宋_GB2312" w:eastAsia="仿宋_GB2312" w:cs="仿宋_GB2312"/>
          <w:color w:val="000000"/>
          <w:sz w:val="24"/>
          <w:highlight w:val="none"/>
          <w:shd w:val="clear" w:fill="FFFFFF"/>
        </w:rPr>
        <w:t>3.2.6 秩序管理</w:t>
      </w:r>
    </w:p>
    <w:p w14:paraId="0C66B811">
      <w:pPr>
        <w:pStyle w:val="4"/>
        <w:ind w:firstLine="480"/>
        <w:jc w:val="both"/>
        <w:rPr>
          <w:highlight w:val="none"/>
        </w:rPr>
      </w:pPr>
      <w:r>
        <w:rPr>
          <w:rFonts w:ascii="仿宋_GB2312" w:hAnsi="仿宋_GB2312" w:eastAsia="仿宋_GB2312" w:cs="仿宋_GB2312"/>
          <w:color w:val="000000"/>
          <w:sz w:val="24"/>
          <w:highlight w:val="none"/>
          <w:shd w:val="clear" w:fill="FFFFFF"/>
        </w:rPr>
        <w:t>①定时查房，主要检查内容是协助辅导员查铺，检查公共区域卫生，设施是否完好；并做好检查记录；</w:t>
      </w:r>
    </w:p>
    <w:p w14:paraId="25297EAF">
      <w:pPr>
        <w:pStyle w:val="4"/>
        <w:ind w:firstLine="480"/>
        <w:jc w:val="both"/>
        <w:rPr>
          <w:highlight w:val="none"/>
        </w:rPr>
      </w:pPr>
      <w:r>
        <w:rPr>
          <w:rFonts w:ascii="仿宋_GB2312" w:hAnsi="仿宋_GB2312" w:eastAsia="仿宋_GB2312" w:cs="仿宋_GB2312"/>
          <w:color w:val="000000"/>
          <w:sz w:val="24"/>
          <w:highlight w:val="none"/>
          <w:shd w:val="clear" w:fill="FFFFFF"/>
        </w:rPr>
        <w:t>②对学生违纪事件及时劝阻，对不听劝阻的学生及时报告所在系部、学生管理处和主管领导；</w:t>
      </w:r>
    </w:p>
    <w:p w14:paraId="3A4D6EFF">
      <w:pPr>
        <w:pStyle w:val="4"/>
        <w:ind w:firstLine="480"/>
        <w:jc w:val="both"/>
        <w:rPr>
          <w:highlight w:val="none"/>
        </w:rPr>
      </w:pPr>
      <w:r>
        <w:rPr>
          <w:rFonts w:ascii="仿宋_GB2312" w:hAnsi="仿宋_GB2312" w:eastAsia="仿宋_GB2312" w:cs="仿宋_GB2312"/>
          <w:color w:val="000000"/>
          <w:sz w:val="24"/>
          <w:highlight w:val="none"/>
          <w:shd w:val="clear" w:fill="FFFFFF"/>
        </w:rPr>
        <w:t>③禁止男女生互串寝室，发现有类似情况及时劝阻，经教育后仍不听劝告者，将名单上报学生管理处；</w:t>
      </w:r>
      <w:r>
        <w:rPr>
          <w:rFonts w:ascii="仿宋_GB2312" w:hAnsi="仿宋_GB2312" w:eastAsia="仿宋_GB2312" w:cs="仿宋_GB2312"/>
          <w:color w:val="000000"/>
          <w:sz w:val="24"/>
          <w:highlight w:val="none"/>
        </w:rPr>
        <w:t>学生同性亲友来访，学生当面登记后方可进入（异性亲友不得进入学生宿舍）；</w:t>
      </w:r>
    </w:p>
    <w:p w14:paraId="4E627AE8">
      <w:pPr>
        <w:pStyle w:val="4"/>
        <w:ind w:firstLine="480"/>
        <w:jc w:val="both"/>
        <w:rPr>
          <w:highlight w:val="none"/>
        </w:rPr>
      </w:pPr>
      <w:r>
        <w:rPr>
          <w:rFonts w:ascii="仿宋_GB2312" w:hAnsi="仿宋_GB2312" w:eastAsia="仿宋_GB2312" w:cs="仿宋_GB2312"/>
          <w:color w:val="000000"/>
          <w:sz w:val="24"/>
          <w:highlight w:val="none"/>
          <w:shd w:val="clear" w:fill="FFFFFF"/>
        </w:rPr>
        <w:t>④对不归或晚归学生如实登记，登记晚归学生的姓名，院系、班级、宿舍号、时间，并按照规定时间内向负责老师或辅导员汇报；</w:t>
      </w:r>
    </w:p>
    <w:p w14:paraId="36A857BC">
      <w:pPr>
        <w:pStyle w:val="4"/>
        <w:ind w:firstLine="480"/>
        <w:jc w:val="both"/>
        <w:rPr>
          <w:highlight w:val="none"/>
        </w:rPr>
      </w:pPr>
      <w:r>
        <w:rPr>
          <w:rFonts w:ascii="仿宋_GB2312" w:hAnsi="仿宋_GB2312" w:eastAsia="仿宋_GB2312" w:cs="仿宋_GB2312"/>
          <w:color w:val="000000"/>
          <w:sz w:val="24"/>
          <w:highlight w:val="none"/>
          <w:shd w:val="clear" w:fill="FFFFFF"/>
        </w:rPr>
        <w:t>⑤严禁推销人员和商贩进入宿舍叫卖，禁止学生在宿舍开展商业活动；禁止外来送餐及货物配送人员进入学生宿舍楼栋内。</w:t>
      </w:r>
    </w:p>
    <w:p w14:paraId="25001259">
      <w:pPr>
        <w:pStyle w:val="4"/>
        <w:ind w:firstLine="480"/>
        <w:jc w:val="both"/>
        <w:rPr>
          <w:highlight w:val="none"/>
        </w:rPr>
      </w:pPr>
      <w:r>
        <w:rPr>
          <w:rFonts w:ascii="仿宋_GB2312" w:hAnsi="仿宋_GB2312" w:eastAsia="仿宋_GB2312" w:cs="仿宋_GB2312"/>
          <w:color w:val="000000"/>
          <w:sz w:val="24"/>
          <w:highlight w:val="none"/>
          <w:shd w:val="clear" w:fill="FFFFFF"/>
        </w:rPr>
        <w:t>3.2.7安全管理</w:t>
      </w:r>
    </w:p>
    <w:p w14:paraId="128B5C7A">
      <w:pPr>
        <w:pStyle w:val="4"/>
        <w:ind w:firstLine="480"/>
        <w:jc w:val="both"/>
        <w:rPr>
          <w:highlight w:val="none"/>
        </w:rPr>
      </w:pPr>
      <w:r>
        <w:rPr>
          <w:rFonts w:ascii="仿宋_GB2312" w:hAnsi="仿宋_GB2312" w:eastAsia="仿宋_GB2312" w:cs="仿宋_GB2312"/>
          <w:color w:val="000000"/>
          <w:sz w:val="24"/>
          <w:highlight w:val="none"/>
          <w:shd w:val="clear" w:fill="FFFFFF"/>
        </w:rPr>
        <w:t>①切实加强防火防盗。发现不安全因素及时处理并报告安全保卫处；</w:t>
      </w:r>
    </w:p>
    <w:p w14:paraId="5A178E94">
      <w:pPr>
        <w:pStyle w:val="4"/>
        <w:ind w:firstLine="480"/>
        <w:jc w:val="both"/>
        <w:rPr>
          <w:highlight w:val="none"/>
        </w:rPr>
      </w:pPr>
      <w:r>
        <w:rPr>
          <w:rFonts w:ascii="仿宋_GB2312" w:hAnsi="仿宋_GB2312" w:eastAsia="仿宋_GB2312" w:cs="仿宋_GB2312"/>
          <w:color w:val="000000"/>
          <w:sz w:val="24"/>
          <w:highlight w:val="none"/>
          <w:shd w:val="clear" w:fill="FFFFFF"/>
        </w:rPr>
        <w:t>②严格检查学生违章用电，私拉乱接电线；发现问题及时处理，上报（报告部门：所在系部、学生管理处、安全保卫处），并做好记录；</w:t>
      </w:r>
    </w:p>
    <w:p w14:paraId="61F21D3B">
      <w:pPr>
        <w:pStyle w:val="4"/>
        <w:ind w:firstLine="480"/>
        <w:jc w:val="both"/>
        <w:rPr>
          <w:highlight w:val="none"/>
        </w:rPr>
      </w:pPr>
      <w:r>
        <w:rPr>
          <w:rFonts w:ascii="仿宋_GB2312" w:hAnsi="仿宋_GB2312" w:eastAsia="仿宋_GB2312" w:cs="仿宋_GB2312"/>
          <w:color w:val="000000"/>
          <w:sz w:val="24"/>
          <w:highlight w:val="none"/>
          <w:shd w:val="clear" w:fill="FFFFFF"/>
        </w:rPr>
        <w:t>③严格检查学生违章使用电器（电炉，电火锅，电饭锅，电热杯等），一经发现，收缴物品并做好记录，对不听劝阻的学生及时报告学生管理处；</w:t>
      </w:r>
    </w:p>
    <w:p w14:paraId="6DAF462E">
      <w:pPr>
        <w:pStyle w:val="4"/>
        <w:ind w:firstLine="480"/>
        <w:jc w:val="both"/>
        <w:rPr>
          <w:highlight w:val="none"/>
        </w:rPr>
      </w:pPr>
      <w:r>
        <w:rPr>
          <w:rFonts w:ascii="仿宋_GB2312" w:hAnsi="仿宋_GB2312" w:eastAsia="仿宋_GB2312" w:cs="仿宋_GB2312"/>
          <w:color w:val="000000"/>
          <w:sz w:val="24"/>
          <w:highlight w:val="none"/>
          <w:shd w:val="clear" w:fill="FFFFFF"/>
        </w:rPr>
        <w:t>④非本公寓人员（除有关工作人员）不得入内，对不听劝阻的，或紧急情况可及时报告学生管理处、安全保卫处和主管领导。</w:t>
      </w:r>
    </w:p>
    <w:p w14:paraId="5A03FE78">
      <w:pPr>
        <w:pStyle w:val="4"/>
        <w:ind w:firstLine="480"/>
        <w:jc w:val="both"/>
        <w:rPr>
          <w:highlight w:val="none"/>
        </w:rPr>
      </w:pPr>
      <w:r>
        <w:rPr>
          <w:rFonts w:ascii="仿宋_GB2312" w:hAnsi="仿宋_GB2312" w:eastAsia="仿宋_GB2312" w:cs="仿宋_GB2312"/>
          <w:color w:val="000000"/>
          <w:sz w:val="24"/>
          <w:highlight w:val="none"/>
          <w:shd w:val="clear" w:fill="FFFFFF"/>
        </w:rPr>
        <w:t>3.2.8清洁卫生管理。</w:t>
      </w:r>
    </w:p>
    <w:p w14:paraId="6C43F87F">
      <w:pPr>
        <w:pStyle w:val="4"/>
        <w:ind w:firstLine="480"/>
        <w:jc w:val="both"/>
        <w:rPr>
          <w:highlight w:val="none"/>
        </w:rPr>
      </w:pPr>
      <w:r>
        <w:rPr>
          <w:rFonts w:ascii="仿宋_GB2312" w:hAnsi="仿宋_GB2312" w:eastAsia="仿宋_GB2312" w:cs="仿宋_GB2312"/>
          <w:color w:val="000000"/>
          <w:sz w:val="24"/>
          <w:highlight w:val="none"/>
          <w:shd w:val="clear" w:fill="FFFFFF"/>
        </w:rPr>
        <w:t>①负责宿舍管理员值班室内部及周围3米内公共区域卫生，坚持每天清扫，保持干净整洁。</w:t>
      </w:r>
    </w:p>
    <w:p w14:paraId="19DB531A">
      <w:pPr>
        <w:pStyle w:val="4"/>
        <w:ind w:firstLine="480"/>
        <w:jc w:val="both"/>
        <w:rPr>
          <w:highlight w:val="none"/>
        </w:rPr>
      </w:pPr>
      <w:r>
        <w:rPr>
          <w:rFonts w:ascii="仿宋_GB2312" w:hAnsi="仿宋_GB2312" w:eastAsia="仿宋_GB2312" w:cs="仿宋_GB2312"/>
          <w:color w:val="000000"/>
          <w:sz w:val="24"/>
          <w:highlight w:val="none"/>
          <w:shd w:val="clear" w:fill="FFFFFF"/>
        </w:rPr>
        <w:t>②配合各系部，搞好管辖区域学生寝室内卫生管理，督促学生自我管理，做到干净整洁。</w:t>
      </w:r>
    </w:p>
    <w:p w14:paraId="576136EC">
      <w:pPr>
        <w:pStyle w:val="4"/>
        <w:ind w:firstLine="480"/>
        <w:jc w:val="both"/>
        <w:rPr>
          <w:highlight w:val="none"/>
        </w:rPr>
      </w:pPr>
      <w:r>
        <w:rPr>
          <w:rFonts w:ascii="仿宋_GB2312" w:hAnsi="仿宋_GB2312" w:eastAsia="仿宋_GB2312" w:cs="仿宋_GB2312"/>
          <w:color w:val="000000"/>
          <w:sz w:val="24"/>
          <w:highlight w:val="none"/>
          <w:shd w:val="clear" w:fill="FFFFFF"/>
        </w:rPr>
        <w:t>3.2.9每年7、8月对毕业生宿舍进行卫生清理、垃圾清运，对宿舍设施设备进行全面检查维修；开学前对各新生宿舍进行全面检查、保洁，床架门窗玻璃橱柜桌椅要内外清洁，无灰尘，保证新生顺利入住，负责学生宿舍内床架桌椅及设备的报修登记及维修安排；</w:t>
      </w:r>
    </w:p>
    <w:p w14:paraId="59C38271">
      <w:pPr>
        <w:pStyle w:val="4"/>
        <w:ind w:firstLine="480"/>
        <w:jc w:val="both"/>
        <w:rPr>
          <w:highlight w:val="none"/>
        </w:rPr>
      </w:pPr>
      <w:r>
        <w:rPr>
          <w:rFonts w:ascii="仿宋_GB2312" w:hAnsi="仿宋_GB2312" w:eastAsia="仿宋_GB2312" w:cs="仿宋_GB2312"/>
          <w:color w:val="000000"/>
          <w:sz w:val="24"/>
          <w:highlight w:val="none"/>
          <w:shd w:val="clear" w:fill="FFFFFF"/>
        </w:rPr>
        <w:t>3.2.10突发事件报告与预处理(制定规章制度)。</w:t>
      </w:r>
    </w:p>
    <w:p w14:paraId="5D045F17">
      <w:pPr>
        <w:pStyle w:val="4"/>
        <w:ind w:firstLine="482"/>
        <w:jc w:val="both"/>
        <w:rPr>
          <w:highlight w:val="none"/>
        </w:rPr>
      </w:pPr>
      <w:r>
        <w:rPr>
          <w:rFonts w:ascii="仿宋_GB2312" w:hAnsi="仿宋_GB2312" w:eastAsia="仿宋_GB2312" w:cs="仿宋_GB2312"/>
          <w:b/>
          <w:color w:val="000000"/>
          <w:sz w:val="24"/>
          <w:highlight w:val="none"/>
          <w:shd w:val="clear" w:fill="FFFFFF"/>
        </w:rPr>
        <w:t>4.绿化养护服务要求</w:t>
      </w:r>
    </w:p>
    <w:p w14:paraId="5C661CD6">
      <w:pPr>
        <w:pStyle w:val="4"/>
        <w:ind w:firstLine="480"/>
        <w:jc w:val="both"/>
        <w:rPr>
          <w:highlight w:val="none"/>
        </w:rPr>
      </w:pPr>
      <w:r>
        <w:rPr>
          <w:rFonts w:ascii="仿宋_GB2312" w:hAnsi="仿宋_GB2312" w:eastAsia="仿宋_GB2312" w:cs="仿宋_GB2312"/>
          <w:color w:val="000000"/>
          <w:sz w:val="24"/>
          <w:highlight w:val="none"/>
          <w:shd w:val="clear" w:fill="FFFFFF"/>
        </w:rPr>
        <w:t>4.1养护内容：学院校区内所有绿化地块绿化清除杂草、浇水、施肥、修剪、病虫害防治、松土、清理枯枝枯叶、白蚁及红火蚁防治等日常养护管理及换盆摆花等，并配合学院做好其他绿化工作。养护所需的花卉、工具、设备和养料材料等均由中标人提供。</w:t>
      </w:r>
    </w:p>
    <w:p w14:paraId="4C5B07DA">
      <w:pPr>
        <w:pStyle w:val="4"/>
        <w:ind w:firstLine="480"/>
        <w:jc w:val="both"/>
        <w:rPr>
          <w:highlight w:val="none"/>
        </w:rPr>
      </w:pPr>
      <w:r>
        <w:rPr>
          <w:rFonts w:ascii="仿宋_GB2312" w:hAnsi="仿宋_GB2312" w:eastAsia="仿宋_GB2312" w:cs="仿宋_GB2312"/>
          <w:color w:val="000000"/>
          <w:sz w:val="24"/>
          <w:highlight w:val="none"/>
          <w:shd w:val="clear" w:fill="FFFFFF"/>
        </w:rPr>
        <w:t>4.2服务要求</w:t>
      </w:r>
    </w:p>
    <w:p w14:paraId="24C591E7">
      <w:pPr>
        <w:pStyle w:val="4"/>
        <w:ind w:firstLine="480"/>
        <w:jc w:val="both"/>
        <w:rPr>
          <w:highlight w:val="none"/>
        </w:rPr>
      </w:pPr>
      <w:r>
        <w:rPr>
          <w:rFonts w:ascii="仿宋_GB2312" w:hAnsi="仿宋_GB2312" w:eastAsia="仿宋_GB2312" w:cs="仿宋_GB2312"/>
          <w:color w:val="000000"/>
          <w:sz w:val="24"/>
          <w:highlight w:val="none"/>
          <w:shd w:val="clear" w:fill="FFFFFF"/>
        </w:rPr>
        <w:t>整体要求：整体绿化长势良好，树木无死株、无缺株，灌木整体造型雅观，草坪养护良好，无明显杂草，无成片枯萎现象。对死株、缺株的按照要求补植同规格、同品种的树木。</w:t>
      </w:r>
    </w:p>
    <w:p w14:paraId="67910DA6">
      <w:pPr>
        <w:pStyle w:val="4"/>
        <w:ind w:firstLine="480"/>
        <w:jc w:val="both"/>
        <w:rPr>
          <w:highlight w:val="none"/>
        </w:rPr>
      </w:pPr>
      <w:r>
        <w:rPr>
          <w:rFonts w:ascii="仿宋_GB2312" w:hAnsi="仿宋_GB2312" w:eastAsia="仿宋_GB2312" w:cs="仿宋_GB2312"/>
          <w:color w:val="000000"/>
          <w:sz w:val="24"/>
          <w:highlight w:val="none"/>
          <w:shd w:val="clear" w:fill="FFFFFF"/>
        </w:rPr>
        <w:t>4.2.1 修剪：每年定期的对离建筑物距离过近，或伸入阳台、窗台遮挡光线，造成安全隐患的枝条，不便于车辆行人来往的分枝等树木进行修剪；对灌木定期的进行抽剪，使其保持规整的造型；</w:t>
      </w:r>
    </w:p>
    <w:p w14:paraId="5CEC2539">
      <w:pPr>
        <w:pStyle w:val="4"/>
        <w:ind w:firstLine="480"/>
        <w:jc w:val="both"/>
        <w:rPr>
          <w:highlight w:val="none"/>
        </w:rPr>
      </w:pPr>
      <w:r>
        <w:rPr>
          <w:rFonts w:ascii="仿宋_GB2312" w:hAnsi="仿宋_GB2312" w:eastAsia="仿宋_GB2312" w:cs="仿宋_GB2312"/>
          <w:color w:val="000000"/>
          <w:sz w:val="24"/>
          <w:highlight w:val="none"/>
          <w:shd w:val="clear" w:fill="FFFFFF"/>
        </w:rPr>
        <w:t>4.2.2 松土：松土深度5-10cm为宜；</w:t>
      </w:r>
    </w:p>
    <w:p w14:paraId="692A4A48">
      <w:pPr>
        <w:pStyle w:val="4"/>
        <w:ind w:firstLine="480"/>
        <w:jc w:val="both"/>
        <w:rPr>
          <w:highlight w:val="none"/>
        </w:rPr>
      </w:pPr>
      <w:r>
        <w:rPr>
          <w:rFonts w:ascii="仿宋_GB2312" w:hAnsi="仿宋_GB2312" w:eastAsia="仿宋_GB2312" w:cs="仿宋_GB2312"/>
          <w:color w:val="000000"/>
          <w:sz w:val="24"/>
          <w:highlight w:val="none"/>
          <w:shd w:val="clear" w:fill="FFFFFF"/>
        </w:rPr>
        <w:t>4.2.3 除草：每年2月、5月、8月、11月分四次对各校区绿地进行打草；其余时间根据草坪生长情况，结合我校客观要求（例如：重要检查、会议、活动等），对重点区域进行打草，草坪高度控制在15cm以下；全年不间断进行人工拔草，重点区域(教学楼及行政楼周边、主干道两侧、综合体育馆广场周边)不可有明显杂草，其余地块杂草数量应控制在绿化面积 10 %以内；树池周边整地，改善植被生长环境，保证绿地整洁；</w:t>
      </w:r>
    </w:p>
    <w:p w14:paraId="435CC7BC">
      <w:pPr>
        <w:pStyle w:val="4"/>
        <w:ind w:firstLine="480"/>
        <w:jc w:val="both"/>
        <w:rPr>
          <w:highlight w:val="none"/>
        </w:rPr>
      </w:pPr>
      <w:r>
        <w:rPr>
          <w:rFonts w:ascii="仿宋_GB2312" w:hAnsi="仿宋_GB2312" w:eastAsia="仿宋_GB2312" w:cs="仿宋_GB2312"/>
          <w:color w:val="000000"/>
          <w:sz w:val="24"/>
          <w:highlight w:val="none"/>
          <w:shd w:val="clear" w:fill="FFFFFF"/>
        </w:rPr>
        <w:t>4.2.4 施肥：要求土壤保持疏松，无积水，不板结，根据植物生长特性和土壤肥力情况，合理施肥，以腐熟的有机肥为主，要求深挖深埋；每年3月、10月对所有开花及长势不佳的大小乔木施用有机肥；每年2月、5月、8月有针对性对部分开花地被、长势弱植被施用复合肥；地被以喷施叶面肥为主；</w:t>
      </w:r>
    </w:p>
    <w:p w14:paraId="71FF7E05">
      <w:pPr>
        <w:pStyle w:val="4"/>
        <w:ind w:firstLine="480"/>
        <w:jc w:val="both"/>
        <w:rPr>
          <w:highlight w:val="none"/>
        </w:rPr>
      </w:pPr>
      <w:r>
        <w:rPr>
          <w:rFonts w:ascii="仿宋_GB2312" w:hAnsi="仿宋_GB2312" w:eastAsia="仿宋_GB2312" w:cs="仿宋_GB2312"/>
          <w:color w:val="000000"/>
          <w:sz w:val="24"/>
          <w:highlight w:val="none"/>
          <w:shd w:val="clear" w:fill="FFFFFF"/>
        </w:rPr>
        <w:t>4.2.5 浇水：根据当地气候特点，土壤保水、植物需水、根系吸水等情况适时适量进行浇水，达到相应养护等级标准；</w:t>
      </w:r>
    </w:p>
    <w:p w14:paraId="49349690">
      <w:pPr>
        <w:pStyle w:val="4"/>
        <w:ind w:firstLine="480"/>
        <w:jc w:val="both"/>
        <w:rPr>
          <w:highlight w:val="none"/>
        </w:rPr>
      </w:pPr>
      <w:r>
        <w:rPr>
          <w:rFonts w:ascii="仿宋_GB2312" w:hAnsi="仿宋_GB2312" w:eastAsia="仿宋_GB2312" w:cs="仿宋_GB2312"/>
          <w:color w:val="000000"/>
          <w:sz w:val="24"/>
          <w:highlight w:val="none"/>
          <w:shd w:val="clear" w:fill="FFFFFF"/>
        </w:rPr>
        <w:t>4.2.6灭虫：每年不间断对病虫害进行监督、防治，2月、5月、9月施用广谱性杀虫剂及杀菌剂进行喷施，控制植株患病率在20%以下；</w:t>
      </w:r>
    </w:p>
    <w:p w14:paraId="131A69D7">
      <w:pPr>
        <w:pStyle w:val="4"/>
        <w:ind w:firstLine="480"/>
        <w:jc w:val="both"/>
        <w:rPr>
          <w:highlight w:val="none"/>
        </w:rPr>
      </w:pPr>
      <w:r>
        <w:rPr>
          <w:rFonts w:ascii="仿宋_GB2312" w:hAnsi="仿宋_GB2312" w:eastAsia="仿宋_GB2312" w:cs="仿宋_GB2312"/>
          <w:color w:val="000000"/>
          <w:sz w:val="24"/>
          <w:highlight w:val="none"/>
          <w:shd w:val="clear" w:fill="FFFFFF"/>
        </w:rPr>
        <w:t>4.2.7 其他养护：包括补植、绿地保洁及垃圾清运、清除墙角墙脚缝隙及屋面栏板脚的草木等；绿化垃圾临时存放不得超过3天。</w:t>
      </w:r>
    </w:p>
    <w:p w14:paraId="794B0E02">
      <w:pPr>
        <w:pStyle w:val="4"/>
        <w:ind w:firstLine="480"/>
        <w:jc w:val="both"/>
        <w:rPr>
          <w:highlight w:val="none"/>
        </w:rPr>
      </w:pPr>
      <w:r>
        <w:rPr>
          <w:rFonts w:ascii="仿宋_GB2312" w:hAnsi="仿宋_GB2312" w:eastAsia="仿宋_GB2312" w:cs="仿宋_GB2312"/>
          <w:color w:val="000000"/>
          <w:sz w:val="24"/>
          <w:highlight w:val="none"/>
          <w:shd w:val="clear" w:fill="FFFFFF"/>
        </w:rPr>
        <w:t>4.2.8 台风、大雨等突发事件防备及应急处理措施；因不可抗拒因素，如台风、暴雨等自然灾害引起树木断枝、落叶、倒伏以及由此造成的伤人、损物等情况，物业公司在接到校方通知后应迅速组织力量，立即到达现场并及时处理。树木的移植修剪、扶正种植、养护费用等由物业公司承担。更新补植苗木费用由校方承担；</w:t>
      </w:r>
    </w:p>
    <w:p w14:paraId="5069C8B1">
      <w:pPr>
        <w:pStyle w:val="4"/>
        <w:ind w:firstLine="480"/>
        <w:jc w:val="both"/>
        <w:rPr>
          <w:highlight w:val="none"/>
        </w:rPr>
      </w:pPr>
      <w:r>
        <w:rPr>
          <w:rFonts w:ascii="仿宋_GB2312" w:hAnsi="仿宋_GB2312" w:eastAsia="仿宋_GB2312" w:cs="仿宋_GB2312"/>
          <w:color w:val="000000"/>
          <w:sz w:val="24"/>
          <w:highlight w:val="none"/>
          <w:shd w:val="clear" w:fill="FFFFFF"/>
        </w:rPr>
        <w:t>4.2.9 配合学校完成各类重大活动的绿化养护管理。如：重大节日、活动指 定地点摆花的图案设计、选址等工作，经学校审定后摆设；做好花卉的养护管理，无凋零、枯黄、断枝、败叶、病虫、死亡等现象；每月提供或更换花卉、盆景不少于100盆(高度60厘米左右、冠幅50厘米左右)，并且保持长年不凋谢。具体数量及种类需要与采购人确定。</w:t>
      </w:r>
    </w:p>
    <w:p w14:paraId="6DE1EFDC">
      <w:pPr>
        <w:pStyle w:val="4"/>
        <w:ind w:firstLine="480"/>
        <w:jc w:val="both"/>
        <w:rPr>
          <w:highlight w:val="none"/>
        </w:rPr>
      </w:pPr>
      <w:r>
        <w:rPr>
          <w:rFonts w:ascii="仿宋_GB2312" w:hAnsi="仿宋_GB2312" w:eastAsia="仿宋_GB2312" w:cs="仿宋_GB2312"/>
          <w:color w:val="000000"/>
          <w:sz w:val="24"/>
          <w:highlight w:val="none"/>
          <w:shd w:val="clear" w:fill="FFFFFF"/>
        </w:rPr>
        <w:t>4.2.10校园内因工程建设或改造新增的草地、乔灌木等绿化，施工方养护期满后的日常养护和管理由中标人负责，也不再增加费用。</w:t>
      </w:r>
    </w:p>
    <w:p w14:paraId="465F811C">
      <w:pPr>
        <w:pStyle w:val="4"/>
        <w:ind w:firstLine="480"/>
        <w:jc w:val="both"/>
        <w:rPr>
          <w:highlight w:val="none"/>
        </w:rPr>
      </w:pPr>
      <w:r>
        <w:rPr>
          <w:rFonts w:ascii="仿宋_GB2312" w:hAnsi="仿宋_GB2312" w:eastAsia="仿宋_GB2312" w:cs="仿宋_GB2312"/>
          <w:color w:val="000000"/>
          <w:sz w:val="24"/>
          <w:highlight w:val="none"/>
          <w:shd w:val="clear" w:fill="FFFFFF"/>
        </w:rPr>
        <w:t>4.2.11 因物业公司绿化养护不到位(如：整形修剪不到位导致树木倒伏、断枝)，操作不规范(如违反绿化养护安全作业规范没有设置警示标志、无防护措施等)等原因造成人员伤亡或财产损失的，由此产生的所有费用和责任由物业公司承担。</w:t>
      </w:r>
    </w:p>
    <w:p w14:paraId="414CEBBD">
      <w:pPr>
        <w:pStyle w:val="4"/>
        <w:ind w:firstLine="482"/>
        <w:jc w:val="both"/>
        <w:rPr>
          <w:highlight w:val="none"/>
        </w:rPr>
      </w:pPr>
      <w:r>
        <w:rPr>
          <w:rFonts w:ascii="仿宋_GB2312" w:hAnsi="仿宋_GB2312" w:eastAsia="仿宋_GB2312" w:cs="仿宋_GB2312"/>
          <w:b/>
          <w:color w:val="000000"/>
          <w:sz w:val="24"/>
          <w:highlight w:val="none"/>
          <w:shd w:val="clear" w:fill="FFFFFF"/>
        </w:rPr>
        <w:t>5、零星维修服务要求</w:t>
      </w:r>
    </w:p>
    <w:p w14:paraId="7B7BBCA6">
      <w:pPr>
        <w:pStyle w:val="4"/>
        <w:ind w:firstLine="480"/>
        <w:jc w:val="both"/>
        <w:rPr>
          <w:highlight w:val="none"/>
        </w:rPr>
      </w:pPr>
      <w:r>
        <w:rPr>
          <w:rFonts w:ascii="仿宋_GB2312" w:hAnsi="仿宋_GB2312" w:eastAsia="仿宋_GB2312" w:cs="仿宋_GB2312"/>
          <w:color w:val="000000"/>
          <w:sz w:val="24"/>
          <w:highlight w:val="none"/>
          <w:shd w:val="clear" w:fill="FFFFFF"/>
        </w:rPr>
        <w:t>5.1日常水电土木维修及主要建筑物情况表范围内所有设备设施的维修，均由物业负责包工包料完成，具体详见零星修缮清单。</w:t>
      </w:r>
    </w:p>
    <w:tbl>
      <w:tblPr>
        <w:tblStyle w:val="2"/>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801"/>
        <w:gridCol w:w="616"/>
        <w:gridCol w:w="4941"/>
        <w:gridCol w:w="1922"/>
      </w:tblGrid>
      <w:tr w14:paraId="6CF98C9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280" w:type="dxa"/>
            <w:gridSpan w:val="4"/>
            <w:tcBorders>
              <w:top w:val="nil"/>
              <w:left w:val="nil"/>
              <w:bottom w:val="nil"/>
              <w:right w:val="nil"/>
            </w:tcBorders>
            <w:tcMar>
              <w:top w:w="0" w:type="dxa"/>
              <w:left w:w="105" w:type="dxa"/>
              <w:bottom w:w="0" w:type="dxa"/>
              <w:right w:w="105" w:type="dxa"/>
            </w:tcMar>
            <w:vAlign w:val="top"/>
          </w:tcPr>
          <w:p w14:paraId="2BAA7CCC">
            <w:pPr>
              <w:pStyle w:val="4"/>
              <w:jc w:val="center"/>
              <w:rPr>
                <w:highlight w:val="none"/>
              </w:rPr>
            </w:pPr>
            <w:r>
              <w:rPr>
                <w:rFonts w:ascii="仿宋_GB2312" w:hAnsi="仿宋_GB2312" w:eastAsia="仿宋_GB2312" w:cs="仿宋_GB2312"/>
                <w:color w:val="000000"/>
                <w:sz w:val="24"/>
                <w:highlight w:val="none"/>
              </w:rPr>
              <w:t>零星维修清单</w:t>
            </w:r>
          </w:p>
        </w:tc>
      </w:tr>
      <w:tr w14:paraId="507EF9B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01"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42F54E1E">
            <w:pPr>
              <w:pStyle w:val="4"/>
              <w:jc w:val="center"/>
              <w:rPr>
                <w:highlight w:val="none"/>
              </w:rPr>
            </w:pPr>
            <w:r>
              <w:rPr>
                <w:rFonts w:ascii="仿宋_GB2312" w:hAnsi="仿宋_GB2312" w:eastAsia="仿宋_GB2312" w:cs="仿宋_GB2312"/>
                <w:color w:val="000000"/>
                <w:sz w:val="24"/>
                <w:highlight w:val="none"/>
              </w:rPr>
              <w:t>分类</w:t>
            </w:r>
          </w:p>
        </w:tc>
        <w:tc>
          <w:tcPr>
            <w:tcW w:w="616"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315181EA">
            <w:pPr>
              <w:pStyle w:val="4"/>
              <w:jc w:val="center"/>
              <w:rPr>
                <w:highlight w:val="none"/>
              </w:rPr>
            </w:pPr>
            <w:r>
              <w:rPr>
                <w:rFonts w:ascii="仿宋_GB2312" w:hAnsi="仿宋_GB2312" w:eastAsia="仿宋_GB2312" w:cs="仿宋_GB2312"/>
                <w:color w:val="000000"/>
                <w:sz w:val="24"/>
                <w:highlight w:val="none"/>
              </w:rPr>
              <w:t>序号</w:t>
            </w:r>
          </w:p>
        </w:tc>
        <w:tc>
          <w:tcPr>
            <w:tcW w:w="4941"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5677F3CE">
            <w:pPr>
              <w:pStyle w:val="4"/>
              <w:jc w:val="center"/>
              <w:rPr>
                <w:highlight w:val="none"/>
              </w:rPr>
            </w:pPr>
            <w:r>
              <w:rPr>
                <w:rFonts w:ascii="仿宋_GB2312" w:hAnsi="仿宋_GB2312" w:eastAsia="仿宋_GB2312" w:cs="仿宋_GB2312"/>
                <w:color w:val="000000"/>
                <w:sz w:val="24"/>
                <w:highlight w:val="none"/>
              </w:rPr>
              <w:t>项目</w:t>
            </w:r>
          </w:p>
        </w:tc>
        <w:tc>
          <w:tcPr>
            <w:tcW w:w="1922"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4221B784">
            <w:pPr>
              <w:pStyle w:val="4"/>
              <w:jc w:val="center"/>
              <w:rPr>
                <w:highlight w:val="none"/>
              </w:rPr>
            </w:pPr>
            <w:r>
              <w:rPr>
                <w:rFonts w:ascii="仿宋_GB2312" w:hAnsi="仿宋_GB2312" w:eastAsia="仿宋_GB2312" w:cs="仿宋_GB2312"/>
                <w:color w:val="000000"/>
                <w:sz w:val="24"/>
                <w:highlight w:val="none"/>
              </w:rPr>
              <w:t>备注</w:t>
            </w:r>
          </w:p>
        </w:tc>
      </w:tr>
      <w:tr w14:paraId="7AC5B04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01" w:type="dxa"/>
            <w:vMerge w:val="restar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2B5CA93">
            <w:pPr>
              <w:pStyle w:val="4"/>
              <w:jc w:val="center"/>
              <w:rPr>
                <w:highlight w:val="none"/>
              </w:rPr>
            </w:pPr>
            <w:r>
              <w:rPr>
                <w:rFonts w:ascii="仿宋_GB2312" w:hAnsi="仿宋_GB2312" w:eastAsia="仿宋_GB2312" w:cs="仿宋_GB2312"/>
                <w:color w:val="000000"/>
                <w:sz w:val="24"/>
                <w:highlight w:val="none"/>
              </w:rPr>
              <w:t>木工</w:t>
            </w:r>
          </w:p>
        </w:tc>
        <w:tc>
          <w:tcPr>
            <w:tcW w:w="6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382F3588">
            <w:pPr>
              <w:pStyle w:val="4"/>
              <w:jc w:val="center"/>
              <w:rPr>
                <w:highlight w:val="none"/>
              </w:rPr>
            </w:pPr>
            <w:r>
              <w:rPr>
                <w:rFonts w:ascii="仿宋_GB2312" w:hAnsi="仿宋_GB2312" w:eastAsia="仿宋_GB2312" w:cs="仿宋_GB2312"/>
                <w:color w:val="000000"/>
                <w:sz w:val="24"/>
                <w:highlight w:val="none"/>
              </w:rPr>
              <w:t>1</w:t>
            </w:r>
          </w:p>
        </w:tc>
        <w:tc>
          <w:tcPr>
            <w:tcW w:w="4941" w:type="dxa"/>
            <w:tcBorders>
              <w:top w:val="nil"/>
              <w:left w:val="nil"/>
              <w:bottom w:val="single" w:color="000000" w:sz="4" w:space="0"/>
              <w:right w:val="single" w:color="000000" w:sz="4" w:space="0"/>
            </w:tcBorders>
            <w:tcMar>
              <w:top w:w="0" w:type="dxa"/>
              <w:left w:w="105" w:type="dxa"/>
              <w:bottom w:w="0" w:type="dxa"/>
              <w:right w:w="105" w:type="dxa"/>
            </w:tcMar>
            <w:vAlign w:val="top"/>
          </w:tcPr>
          <w:p w14:paraId="11577434">
            <w:pPr>
              <w:pStyle w:val="4"/>
              <w:jc w:val="center"/>
              <w:rPr>
                <w:highlight w:val="none"/>
              </w:rPr>
            </w:pPr>
            <w:r>
              <w:rPr>
                <w:rFonts w:ascii="仿宋_GB2312" w:hAnsi="仿宋_GB2312" w:eastAsia="仿宋_GB2312" w:cs="仿宋_GB2312"/>
                <w:color w:val="000000"/>
                <w:sz w:val="24"/>
                <w:highlight w:val="none"/>
              </w:rPr>
              <w:t>学生宿舍床铺、床板、床护栏、踏梯、桌椅维修</w:t>
            </w:r>
          </w:p>
        </w:tc>
        <w:tc>
          <w:tcPr>
            <w:tcW w:w="1922" w:type="dxa"/>
            <w:vMerge w:val="restart"/>
            <w:tcBorders>
              <w:top w:val="nil"/>
              <w:left w:val="nil"/>
              <w:bottom w:val="single" w:color="000000" w:sz="4" w:space="0"/>
              <w:right w:val="single" w:color="000000" w:sz="4" w:space="0"/>
            </w:tcBorders>
            <w:tcMar>
              <w:top w:w="0" w:type="dxa"/>
              <w:left w:w="105" w:type="dxa"/>
              <w:bottom w:w="0" w:type="dxa"/>
              <w:right w:w="105" w:type="dxa"/>
            </w:tcMar>
            <w:vAlign w:val="top"/>
          </w:tcPr>
          <w:p w14:paraId="0933CC85">
            <w:pPr>
              <w:pStyle w:val="4"/>
              <w:jc w:val="center"/>
              <w:rPr>
                <w:highlight w:val="none"/>
              </w:rPr>
            </w:pPr>
            <w:r>
              <w:rPr>
                <w:rFonts w:ascii="仿宋_GB2312" w:hAnsi="仿宋_GB2312" w:eastAsia="仿宋_GB2312" w:cs="仿宋_GB2312"/>
                <w:color w:val="000000"/>
                <w:sz w:val="24"/>
                <w:highlight w:val="none"/>
              </w:rPr>
              <w:t>简易维修加固，教室桌椅特殊配件需采购人提供。</w:t>
            </w:r>
          </w:p>
        </w:tc>
      </w:tr>
      <w:tr w14:paraId="438F6D6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01" w:type="dxa"/>
            <w:vMerge w:val="continue"/>
            <w:tcBorders>
              <w:top w:val="nil"/>
              <w:left w:val="single" w:color="000000" w:sz="4" w:space="0"/>
              <w:bottom w:val="single" w:color="000000" w:sz="4" w:space="0"/>
              <w:right w:val="single" w:color="000000" w:sz="4" w:space="0"/>
            </w:tcBorders>
          </w:tcPr>
          <w:p w14:paraId="50D5BA8F">
            <w:pPr>
              <w:rPr>
                <w:highlight w:val="none"/>
              </w:rPr>
            </w:pPr>
          </w:p>
        </w:tc>
        <w:tc>
          <w:tcPr>
            <w:tcW w:w="6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79A29AE5">
            <w:pPr>
              <w:pStyle w:val="4"/>
              <w:jc w:val="center"/>
              <w:rPr>
                <w:highlight w:val="none"/>
              </w:rPr>
            </w:pPr>
            <w:r>
              <w:rPr>
                <w:rFonts w:ascii="仿宋_GB2312" w:hAnsi="仿宋_GB2312" w:eastAsia="仿宋_GB2312" w:cs="仿宋_GB2312"/>
                <w:color w:val="000000"/>
                <w:sz w:val="24"/>
                <w:highlight w:val="none"/>
              </w:rPr>
              <w:t>2</w:t>
            </w:r>
          </w:p>
        </w:tc>
        <w:tc>
          <w:tcPr>
            <w:tcW w:w="4941" w:type="dxa"/>
            <w:tcBorders>
              <w:top w:val="nil"/>
              <w:left w:val="nil"/>
              <w:bottom w:val="single" w:color="000000" w:sz="4" w:space="0"/>
              <w:right w:val="single" w:color="000000" w:sz="4" w:space="0"/>
            </w:tcBorders>
            <w:tcMar>
              <w:top w:w="0" w:type="dxa"/>
              <w:left w:w="105" w:type="dxa"/>
              <w:bottom w:w="0" w:type="dxa"/>
              <w:right w:w="105" w:type="dxa"/>
            </w:tcMar>
            <w:vAlign w:val="top"/>
          </w:tcPr>
          <w:p w14:paraId="6639AF4B">
            <w:pPr>
              <w:pStyle w:val="4"/>
              <w:jc w:val="center"/>
              <w:rPr>
                <w:highlight w:val="none"/>
              </w:rPr>
            </w:pPr>
            <w:r>
              <w:rPr>
                <w:rFonts w:ascii="仿宋_GB2312" w:hAnsi="仿宋_GB2312" w:eastAsia="仿宋_GB2312" w:cs="仿宋_GB2312"/>
                <w:color w:val="000000"/>
                <w:sz w:val="24"/>
                <w:highlight w:val="none"/>
              </w:rPr>
              <w:t>教学楼教室课桌椅维修</w:t>
            </w:r>
          </w:p>
        </w:tc>
        <w:tc>
          <w:tcPr>
            <w:tcW w:w="1922" w:type="dxa"/>
            <w:vMerge w:val="continue"/>
            <w:tcBorders>
              <w:top w:val="nil"/>
              <w:left w:val="nil"/>
              <w:bottom w:val="single" w:color="000000" w:sz="4" w:space="0"/>
              <w:right w:val="single" w:color="000000" w:sz="4" w:space="0"/>
            </w:tcBorders>
          </w:tcPr>
          <w:p w14:paraId="62D44CE1">
            <w:pPr>
              <w:rPr>
                <w:highlight w:val="none"/>
              </w:rPr>
            </w:pPr>
          </w:p>
        </w:tc>
      </w:tr>
      <w:tr w14:paraId="79D9367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01" w:type="dxa"/>
            <w:vMerge w:val="continue"/>
            <w:tcBorders>
              <w:top w:val="nil"/>
              <w:left w:val="single" w:color="000000" w:sz="4" w:space="0"/>
              <w:bottom w:val="single" w:color="000000" w:sz="4" w:space="0"/>
              <w:right w:val="single" w:color="000000" w:sz="4" w:space="0"/>
            </w:tcBorders>
          </w:tcPr>
          <w:p w14:paraId="316EB84D">
            <w:pPr>
              <w:rPr>
                <w:highlight w:val="none"/>
              </w:rPr>
            </w:pPr>
          </w:p>
        </w:tc>
        <w:tc>
          <w:tcPr>
            <w:tcW w:w="6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72C72251">
            <w:pPr>
              <w:pStyle w:val="4"/>
              <w:jc w:val="center"/>
              <w:rPr>
                <w:highlight w:val="none"/>
              </w:rPr>
            </w:pPr>
            <w:r>
              <w:rPr>
                <w:rFonts w:ascii="仿宋_GB2312" w:hAnsi="仿宋_GB2312" w:eastAsia="仿宋_GB2312" w:cs="仿宋_GB2312"/>
                <w:color w:val="000000"/>
                <w:sz w:val="24"/>
                <w:highlight w:val="none"/>
              </w:rPr>
              <w:t>3</w:t>
            </w:r>
          </w:p>
        </w:tc>
        <w:tc>
          <w:tcPr>
            <w:tcW w:w="4941" w:type="dxa"/>
            <w:tcBorders>
              <w:top w:val="nil"/>
              <w:left w:val="nil"/>
              <w:bottom w:val="single" w:color="000000" w:sz="4" w:space="0"/>
              <w:right w:val="single" w:color="000000" w:sz="4" w:space="0"/>
            </w:tcBorders>
            <w:tcMar>
              <w:top w:w="0" w:type="dxa"/>
              <w:left w:w="105" w:type="dxa"/>
              <w:bottom w:w="0" w:type="dxa"/>
              <w:right w:w="105" w:type="dxa"/>
            </w:tcMar>
            <w:vAlign w:val="top"/>
          </w:tcPr>
          <w:p w14:paraId="78318F96">
            <w:pPr>
              <w:pStyle w:val="4"/>
              <w:jc w:val="center"/>
              <w:rPr>
                <w:highlight w:val="none"/>
              </w:rPr>
            </w:pPr>
            <w:r>
              <w:rPr>
                <w:rFonts w:ascii="仿宋_GB2312" w:hAnsi="仿宋_GB2312" w:eastAsia="仿宋_GB2312" w:cs="仿宋_GB2312"/>
                <w:color w:val="000000"/>
                <w:sz w:val="24"/>
                <w:highlight w:val="none"/>
              </w:rPr>
              <w:t>木门破洞修补</w:t>
            </w:r>
          </w:p>
        </w:tc>
        <w:tc>
          <w:tcPr>
            <w:tcW w:w="1922" w:type="dxa"/>
            <w:tcBorders>
              <w:top w:val="nil"/>
              <w:left w:val="nil"/>
              <w:bottom w:val="single" w:color="000000" w:sz="4" w:space="0"/>
              <w:right w:val="single" w:color="000000" w:sz="4" w:space="0"/>
            </w:tcBorders>
            <w:tcMar>
              <w:top w:w="0" w:type="dxa"/>
              <w:left w:w="105" w:type="dxa"/>
              <w:bottom w:w="0" w:type="dxa"/>
              <w:right w:w="105" w:type="dxa"/>
            </w:tcMar>
            <w:vAlign w:val="top"/>
          </w:tcPr>
          <w:p w14:paraId="164373FA">
            <w:pPr>
              <w:pStyle w:val="4"/>
              <w:jc w:val="center"/>
              <w:rPr>
                <w:highlight w:val="none"/>
              </w:rPr>
            </w:pPr>
          </w:p>
        </w:tc>
      </w:tr>
      <w:tr w14:paraId="450B536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01" w:type="dxa"/>
            <w:vMerge w:val="continue"/>
            <w:tcBorders>
              <w:top w:val="nil"/>
              <w:left w:val="single" w:color="000000" w:sz="4" w:space="0"/>
              <w:bottom w:val="single" w:color="000000" w:sz="4" w:space="0"/>
              <w:right w:val="single" w:color="000000" w:sz="4" w:space="0"/>
            </w:tcBorders>
          </w:tcPr>
          <w:p w14:paraId="5D7F4677">
            <w:pPr>
              <w:rPr>
                <w:highlight w:val="none"/>
              </w:rPr>
            </w:pPr>
          </w:p>
        </w:tc>
        <w:tc>
          <w:tcPr>
            <w:tcW w:w="6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731387EB">
            <w:pPr>
              <w:pStyle w:val="4"/>
              <w:jc w:val="center"/>
              <w:rPr>
                <w:highlight w:val="none"/>
              </w:rPr>
            </w:pPr>
            <w:r>
              <w:rPr>
                <w:rFonts w:ascii="仿宋_GB2312" w:hAnsi="仿宋_GB2312" w:eastAsia="仿宋_GB2312" w:cs="仿宋_GB2312"/>
                <w:color w:val="000000"/>
                <w:sz w:val="24"/>
                <w:highlight w:val="none"/>
              </w:rPr>
              <w:t>4</w:t>
            </w:r>
          </w:p>
        </w:tc>
        <w:tc>
          <w:tcPr>
            <w:tcW w:w="4941" w:type="dxa"/>
            <w:tcBorders>
              <w:top w:val="nil"/>
              <w:left w:val="nil"/>
              <w:bottom w:val="single" w:color="000000" w:sz="4" w:space="0"/>
              <w:right w:val="single" w:color="000000" w:sz="4" w:space="0"/>
            </w:tcBorders>
            <w:tcMar>
              <w:top w:w="0" w:type="dxa"/>
              <w:left w:w="105" w:type="dxa"/>
              <w:bottom w:w="0" w:type="dxa"/>
              <w:right w:w="105" w:type="dxa"/>
            </w:tcMar>
            <w:vAlign w:val="top"/>
          </w:tcPr>
          <w:p w14:paraId="5F722699">
            <w:pPr>
              <w:pStyle w:val="4"/>
              <w:jc w:val="center"/>
              <w:rPr>
                <w:highlight w:val="none"/>
              </w:rPr>
            </w:pPr>
            <w:r>
              <w:rPr>
                <w:rFonts w:ascii="仿宋_GB2312" w:hAnsi="仿宋_GB2312" w:eastAsia="仿宋_GB2312" w:cs="仿宋_GB2312"/>
                <w:color w:val="000000"/>
                <w:sz w:val="24"/>
                <w:highlight w:val="none"/>
              </w:rPr>
              <w:t>简易焊接围栏、床架、防盗网、课桌椅、不锈钢、镀锌管、入户门焊接</w:t>
            </w:r>
          </w:p>
        </w:tc>
        <w:tc>
          <w:tcPr>
            <w:tcW w:w="1922" w:type="dxa"/>
            <w:tcBorders>
              <w:top w:val="nil"/>
              <w:left w:val="nil"/>
              <w:bottom w:val="single" w:color="000000" w:sz="4" w:space="0"/>
              <w:right w:val="single" w:color="000000" w:sz="4" w:space="0"/>
            </w:tcBorders>
            <w:tcMar>
              <w:top w:w="0" w:type="dxa"/>
              <w:left w:w="105" w:type="dxa"/>
              <w:bottom w:w="0" w:type="dxa"/>
              <w:right w:w="105" w:type="dxa"/>
            </w:tcMar>
            <w:vAlign w:val="top"/>
          </w:tcPr>
          <w:p w14:paraId="4479F1E4">
            <w:pPr>
              <w:pStyle w:val="4"/>
              <w:jc w:val="center"/>
              <w:rPr>
                <w:highlight w:val="none"/>
              </w:rPr>
            </w:pPr>
          </w:p>
        </w:tc>
      </w:tr>
      <w:tr w14:paraId="518F9F1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01" w:type="dxa"/>
            <w:vMerge w:val="restar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0282DD96">
            <w:pPr>
              <w:pStyle w:val="4"/>
              <w:jc w:val="center"/>
              <w:rPr>
                <w:highlight w:val="none"/>
              </w:rPr>
            </w:pPr>
            <w:r>
              <w:rPr>
                <w:rFonts w:ascii="仿宋_GB2312" w:hAnsi="仿宋_GB2312" w:eastAsia="仿宋_GB2312" w:cs="仿宋_GB2312"/>
                <w:color w:val="000000"/>
                <w:sz w:val="24"/>
                <w:highlight w:val="none"/>
              </w:rPr>
              <w:t>土工</w:t>
            </w:r>
          </w:p>
        </w:tc>
        <w:tc>
          <w:tcPr>
            <w:tcW w:w="6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7E71AD91">
            <w:pPr>
              <w:pStyle w:val="4"/>
              <w:jc w:val="center"/>
              <w:rPr>
                <w:highlight w:val="none"/>
              </w:rPr>
            </w:pPr>
            <w:r>
              <w:rPr>
                <w:rFonts w:ascii="仿宋_GB2312" w:hAnsi="仿宋_GB2312" w:eastAsia="仿宋_GB2312" w:cs="仿宋_GB2312"/>
                <w:color w:val="000000"/>
                <w:sz w:val="24"/>
                <w:highlight w:val="none"/>
              </w:rPr>
              <w:t>5</w:t>
            </w:r>
          </w:p>
        </w:tc>
        <w:tc>
          <w:tcPr>
            <w:tcW w:w="4941" w:type="dxa"/>
            <w:tcBorders>
              <w:top w:val="nil"/>
              <w:left w:val="nil"/>
              <w:bottom w:val="single" w:color="000000" w:sz="4" w:space="0"/>
              <w:right w:val="single" w:color="000000" w:sz="4" w:space="0"/>
            </w:tcBorders>
            <w:tcMar>
              <w:top w:w="0" w:type="dxa"/>
              <w:left w:w="105" w:type="dxa"/>
              <w:bottom w:w="0" w:type="dxa"/>
              <w:right w:w="105" w:type="dxa"/>
            </w:tcMar>
            <w:vAlign w:val="top"/>
          </w:tcPr>
          <w:p w14:paraId="1898B67F">
            <w:pPr>
              <w:pStyle w:val="4"/>
              <w:jc w:val="center"/>
              <w:rPr>
                <w:highlight w:val="none"/>
              </w:rPr>
            </w:pPr>
            <w:r>
              <w:rPr>
                <w:rFonts w:ascii="仿宋_GB2312" w:hAnsi="仿宋_GB2312" w:eastAsia="仿宋_GB2312" w:cs="仿宋_GB2312"/>
                <w:color w:val="000000"/>
                <w:sz w:val="24"/>
                <w:highlight w:val="none"/>
              </w:rPr>
              <w:t>学生宿舍、公共教室室内零星粉刷修补</w:t>
            </w:r>
          </w:p>
        </w:tc>
        <w:tc>
          <w:tcPr>
            <w:tcW w:w="1922" w:type="dxa"/>
            <w:vMerge w:val="restart"/>
            <w:tcBorders>
              <w:top w:val="nil"/>
              <w:left w:val="nil"/>
              <w:bottom w:val="single" w:color="000000" w:sz="4" w:space="0"/>
              <w:right w:val="single" w:color="000000" w:sz="4" w:space="0"/>
            </w:tcBorders>
            <w:tcMar>
              <w:top w:w="0" w:type="dxa"/>
              <w:left w:w="105" w:type="dxa"/>
              <w:bottom w:w="0" w:type="dxa"/>
              <w:right w:w="105" w:type="dxa"/>
            </w:tcMar>
            <w:vAlign w:val="top"/>
          </w:tcPr>
          <w:p w14:paraId="140D88F0">
            <w:pPr>
              <w:pStyle w:val="4"/>
              <w:jc w:val="center"/>
              <w:rPr>
                <w:highlight w:val="none"/>
              </w:rPr>
            </w:pPr>
            <w:r>
              <w:rPr>
                <w:rFonts w:ascii="仿宋_GB2312" w:hAnsi="仿宋_GB2312" w:eastAsia="仿宋_GB2312" w:cs="仿宋_GB2312"/>
                <w:color w:val="000000"/>
                <w:sz w:val="24"/>
                <w:highlight w:val="none"/>
              </w:rPr>
              <w:t>室内修补5平方以内，室外2平方以内。</w:t>
            </w:r>
          </w:p>
        </w:tc>
      </w:tr>
      <w:tr w14:paraId="74B9048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01" w:type="dxa"/>
            <w:vMerge w:val="continue"/>
            <w:tcBorders>
              <w:top w:val="nil"/>
              <w:left w:val="single" w:color="000000" w:sz="4" w:space="0"/>
              <w:bottom w:val="single" w:color="000000" w:sz="4" w:space="0"/>
              <w:right w:val="single" w:color="000000" w:sz="4" w:space="0"/>
            </w:tcBorders>
          </w:tcPr>
          <w:p w14:paraId="33192F2F">
            <w:pPr>
              <w:rPr>
                <w:highlight w:val="none"/>
              </w:rPr>
            </w:pPr>
          </w:p>
        </w:tc>
        <w:tc>
          <w:tcPr>
            <w:tcW w:w="6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61869241">
            <w:pPr>
              <w:pStyle w:val="4"/>
              <w:jc w:val="center"/>
              <w:rPr>
                <w:highlight w:val="none"/>
              </w:rPr>
            </w:pPr>
            <w:r>
              <w:rPr>
                <w:rFonts w:ascii="仿宋_GB2312" w:hAnsi="仿宋_GB2312" w:eastAsia="仿宋_GB2312" w:cs="仿宋_GB2312"/>
                <w:color w:val="000000"/>
                <w:sz w:val="24"/>
                <w:highlight w:val="none"/>
              </w:rPr>
              <w:t>6</w:t>
            </w:r>
          </w:p>
        </w:tc>
        <w:tc>
          <w:tcPr>
            <w:tcW w:w="4941" w:type="dxa"/>
            <w:tcBorders>
              <w:top w:val="nil"/>
              <w:left w:val="nil"/>
              <w:bottom w:val="single" w:color="000000" w:sz="4" w:space="0"/>
              <w:right w:val="single" w:color="000000" w:sz="4" w:space="0"/>
            </w:tcBorders>
            <w:tcMar>
              <w:top w:w="0" w:type="dxa"/>
              <w:left w:w="105" w:type="dxa"/>
              <w:bottom w:w="0" w:type="dxa"/>
              <w:right w:w="105" w:type="dxa"/>
            </w:tcMar>
            <w:vAlign w:val="top"/>
          </w:tcPr>
          <w:p w14:paraId="0C7CC7B5">
            <w:pPr>
              <w:pStyle w:val="4"/>
              <w:jc w:val="center"/>
              <w:rPr>
                <w:highlight w:val="none"/>
              </w:rPr>
            </w:pPr>
            <w:r>
              <w:rPr>
                <w:rFonts w:ascii="仿宋_GB2312" w:hAnsi="仿宋_GB2312" w:eastAsia="仿宋_GB2312" w:cs="仿宋_GB2312"/>
                <w:color w:val="000000"/>
                <w:sz w:val="24"/>
                <w:highlight w:val="none"/>
              </w:rPr>
              <w:t>楼道、楼梯、踢脚线、室内瓷砖、大理石板修补（更换）及外路面地砖、大理石板修补</w:t>
            </w:r>
          </w:p>
        </w:tc>
        <w:tc>
          <w:tcPr>
            <w:tcW w:w="1922" w:type="dxa"/>
            <w:vMerge w:val="continue"/>
            <w:tcBorders>
              <w:top w:val="nil"/>
              <w:left w:val="nil"/>
              <w:bottom w:val="single" w:color="000000" w:sz="4" w:space="0"/>
              <w:right w:val="single" w:color="000000" w:sz="4" w:space="0"/>
            </w:tcBorders>
          </w:tcPr>
          <w:p w14:paraId="0CE8671C">
            <w:pPr>
              <w:rPr>
                <w:highlight w:val="none"/>
              </w:rPr>
            </w:pPr>
          </w:p>
        </w:tc>
      </w:tr>
      <w:tr w14:paraId="6D5FB78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01" w:type="dxa"/>
            <w:vMerge w:val="continue"/>
            <w:tcBorders>
              <w:top w:val="nil"/>
              <w:left w:val="single" w:color="000000" w:sz="4" w:space="0"/>
              <w:bottom w:val="single" w:color="000000" w:sz="4" w:space="0"/>
              <w:right w:val="single" w:color="000000" w:sz="4" w:space="0"/>
            </w:tcBorders>
          </w:tcPr>
          <w:p w14:paraId="0D4923EB">
            <w:pPr>
              <w:rPr>
                <w:highlight w:val="none"/>
              </w:rPr>
            </w:pPr>
          </w:p>
        </w:tc>
        <w:tc>
          <w:tcPr>
            <w:tcW w:w="6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2781E9DE">
            <w:pPr>
              <w:pStyle w:val="4"/>
              <w:jc w:val="center"/>
              <w:rPr>
                <w:highlight w:val="none"/>
              </w:rPr>
            </w:pPr>
            <w:r>
              <w:rPr>
                <w:rFonts w:ascii="仿宋_GB2312" w:hAnsi="仿宋_GB2312" w:eastAsia="仿宋_GB2312" w:cs="仿宋_GB2312"/>
                <w:color w:val="000000"/>
                <w:sz w:val="24"/>
                <w:highlight w:val="none"/>
              </w:rPr>
              <w:t>7</w:t>
            </w:r>
          </w:p>
        </w:tc>
        <w:tc>
          <w:tcPr>
            <w:tcW w:w="4941" w:type="dxa"/>
            <w:tcBorders>
              <w:top w:val="nil"/>
              <w:left w:val="nil"/>
              <w:bottom w:val="single" w:color="000000" w:sz="4" w:space="0"/>
              <w:right w:val="single" w:color="000000" w:sz="4" w:space="0"/>
            </w:tcBorders>
            <w:tcMar>
              <w:top w:w="0" w:type="dxa"/>
              <w:left w:w="105" w:type="dxa"/>
              <w:bottom w:w="0" w:type="dxa"/>
              <w:right w:w="105" w:type="dxa"/>
            </w:tcMar>
            <w:vAlign w:val="top"/>
          </w:tcPr>
          <w:p w14:paraId="13CA130B">
            <w:pPr>
              <w:pStyle w:val="4"/>
              <w:jc w:val="center"/>
              <w:rPr>
                <w:highlight w:val="none"/>
              </w:rPr>
            </w:pPr>
            <w:r>
              <w:rPr>
                <w:rFonts w:ascii="仿宋_GB2312" w:hAnsi="仿宋_GB2312" w:eastAsia="仿宋_GB2312" w:cs="仿宋_GB2312"/>
                <w:color w:val="000000"/>
                <w:sz w:val="24"/>
                <w:highlight w:val="none"/>
              </w:rPr>
              <w:t>铸铁井盖（70cm*80cm及以内），水泥井盖修补（更换）</w:t>
            </w:r>
          </w:p>
        </w:tc>
        <w:tc>
          <w:tcPr>
            <w:tcW w:w="1922" w:type="dxa"/>
            <w:tcBorders>
              <w:top w:val="nil"/>
              <w:left w:val="nil"/>
              <w:bottom w:val="single" w:color="000000" w:sz="4" w:space="0"/>
              <w:right w:val="single" w:color="000000" w:sz="4" w:space="0"/>
            </w:tcBorders>
            <w:tcMar>
              <w:top w:w="0" w:type="dxa"/>
              <w:left w:w="105" w:type="dxa"/>
              <w:bottom w:w="0" w:type="dxa"/>
              <w:right w:w="105" w:type="dxa"/>
            </w:tcMar>
            <w:vAlign w:val="top"/>
          </w:tcPr>
          <w:p w14:paraId="72BC4437">
            <w:pPr>
              <w:pStyle w:val="4"/>
              <w:jc w:val="center"/>
              <w:rPr>
                <w:highlight w:val="none"/>
              </w:rPr>
            </w:pPr>
          </w:p>
        </w:tc>
      </w:tr>
      <w:tr w14:paraId="35C20C9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01" w:type="dxa"/>
            <w:vMerge w:val="continue"/>
            <w:tcBorders>
              <w:top w:val="nil"/>
              <w:left w:val="single" w:color="000000" w:sz="4" w:space="0"/>
              <w:bottom w:val="single" w:color="000000" w:sz="4" w:space="0"/>
              <w:right w:val="single" w:color="000000" w:sz="4" w:space="0"/>
            </w:tcBorders>
          </w:tcPr>
          <w:p w14:paraId="46CFE2F3">
            <w:pPr>
              <w:rPr>
                <w:highlight w:val="none"/>
              </w:rPr>
            </w:pPr>
          </w:p>
        </w:tc>
        <w:tc>
          <w:tcPr>
            <w:tcW w:w="6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6F90DAFC">
            <w:pPr>
              <w:pStyle w:val="4"/>
              <w:jc w:val="center"/>
              <w:rPr>
                <w:highlight w:val="none"/>
              </w:rPr>
            </w:pPr>
            <w:r>
              <w:rPr>
                <w:rFonts w:ascii="仿宋_GB2312" w:hAnsi="仿宋_GB2312" w:eastAsia="仿宋_GB2312" w:cs="仿宋_GB2312"/>
                <w:color w:val="000000"/>
                <w:sz w:val="24"/>
                <w:highlight w:val="none"/>
              </w:rPr>
              <w:t>8</w:t>
            </w:r>
          </w:p>
        </w:tc>
        <w:tc>
          <w:tcPr>
            <w:tcW w:w="4941" w:type="dxa"/>
            <w:tcBorders>
              <w:top w:val="nil"/>
              <w:left w:val="nil"/>
              <w:bottom w:val="single" w:color="000000" w:sz="4" w:space="0"/>
              <w:right w:val="single" w:color="000000" w:sz="4" w:space="0"/>
            </w:tcBorders>
            <w:tcMar>
              <w:top w:w="0" w:type="dxa"/>
              <w:left w:w="105" w:type="dxa"/>
              <w:bottom w:w="0" w:type="dxa"/>
              <w:right w:w="105" w:type="dxa"/>
            </w:tcMar>
            <w:vAlign w:val="top"/>
          </w:tcPr>
          <w:p w14:paraId="433A9FC9">
            <w:pPr>
              <w:pStyle w:val="4"/>
              <w:jc w:val="center"/>
              <w:rPr>
                <w:highlight w:val="none"/>
              </w:rPr>
            </w:pPr>
            <w:r>
              <w:rPr>
                <w:rFonts w:ascii="仿宋_GB2312" w:hAnsi="仿宋_GB2312" w:eastAsia="仿宋_GB2312" w:cs="仿宋_GB2312"/>
                <w:color w:val="000000"/>
                <w:sz w:val="24"/>
                <w:highlight w:val="none"/>
              </w:rPr>
              <w:t>洗衣池花岗岩板材修补</w:t>
            </w:r>
          </w:p>
        </w:tc>
        <w:tc>
          <w:tcPr>
            <w:tcW w:w="1922" w:type="dxa"/>
            <w:tcBorders>
              <w:top w:val="nil"/>
              <w:left w:val="nil"/>
              <w:bottom w:val="single" w:color="000000" w:sz="4" w:space="0"/>
              <w:right w:val="single" w:color="000000" w:sz="4" w:space="0"/>
            </w:tcBorders>
            <w:tcMar>
              <w:top w:w="0" w:type="dxa"/>
              <w:left w:w="105" w:type="dxa"/>
              <w:bottom w:w="0" w:type="dxa"/>
              <w:right w:w="105" w:type="dxa"/>
            </w:tcMar>
            <w:vAlign w:val="top"/>
          </w:tcPr>
          <w:p w14:paraId="11BE0D63">
            <w:pPr>
              <w:pStyle w:val="4"/>
              <w:jc w:val="center"/>
              <w:rPr>
                <w:highlight w:val="none"/>
              </w:rPr>
            </w:pPr>
          </w:p>
        </w:tc>
      </w:tr>
      <w:tr w14:paraId="3D6532D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01" w:type="dxa"/>
            <w:vMerge w:val="restar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3C821DC">
            <w:pPr>
              <w:pStyle w:val="4"/>
              <w:jc w:val="center"/>
              <w:rPr>
                <w:highlight w:val="none"/>
              </w:rPr>
            </w:pPr>
            <w:r>
              <w:rPr>
                <w:rFonts w:ascii="仿宋_GB2312" w:hAnsi="仿宋_GB2312" w:eastAsia="仿宋_GB2312" w:cs="仿宋_GB2312"/>
                <w:color w:val="000000"/>
                <w:sz w:val="24"/>
                <w:highlight w:val="none"/>
              </w:rPr>
              <w:t>水电工</w:t>
            </w:r>
          </w:p>
        </w:tc>
        <w:tc>
          <w:tcPr>
            <w:tcW w:w="6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04347677">
            <w:pPr>
              <w:pStyle w:val="4"/>
              <w:jc w:val="center"/>
              <w:rPr>
                <w:highlight w:val="none"/>
              </w:rPr>
            </w:pPr>
            <w:r>
              <w:rPr>
                <w:rFonts w:ascii="仿宋_GB2312" w:hAnsi="仿宋_GB2312" w:eastAsia="仿宋_GB2312" w:cs="仿宋_GB2312"/>
                <w:color w:val="000000"/>
                <w:sz w:val="24"/>
                <w:highlight w:val="none"/>
              </w:rPr>
              <w:t>9</w:t>
            </w:r>
          </w:p>
        </w:tc>
        <w:tc>
          <w:tcPr>
            <w:tcW w:w="4941" w:type="dxa"/>
            <w:tcBorders>
              <w:top w:val="nil"/>
              <w:left w:val="nil"/>
              <w:bottom w:val="single" w:color="000000" w:sz="4" w:space="0"/>
              <w:right w:val="single" w:color="000000" w:sz="4" w:space="0"/>
            </w:tcBorders>
            <w:tcMar>
              <w:top w:w="0" w:type="dxa"/>
              <w:left w:w="105" w:type="dxa"/>
              <w:bottom w:w="0" w:type="dxa"/>
              <w:right w:w="105" w:type="dxa"/>
            </w:tcMar>
            <w:vAlign w:val="top"/>
          </w:tcPr>
          <w:p w14:paraId="0E95C8FA">
            <w:pPr>
              <w:pStyle w:val="4"/>
              <w:jc w:val="center"/>
              <w:rPr>
                <w:highlight w:val="none"/>
              </w:rPr>
            </w:pPr>
            <w:r>
              <w:rPr>
                <w:rFonts w:ascii="仿宋_GB2312" w:hAnsi="仿宋_GB2312" w:eastAsia="仿宋_GB2312" w:cs="仿宋_GB2312"/>
                <w:color w:val="000000"/>
                <w:sz w:val="24"/>
                <w:highlight w:val="none"/>
              </w:rPr>
              <w:t>维修各类吸顶灯、电灯（节能灯、日光灯等）、路灯更换灯管或灯罩</w:t>
            </w:r>
          </w:p>
        </w:tc>
        <w:tc>
          <w:tcPr>
            <w:tcW w:w="1922" w:type="dxa"/>
            <w:tcBorders>
              <w:top w:val="nil"/>
              <w:left w:val="nil"/>
              <w:bottom w:val="single" w:color="000000" w:sz="4" w:space="0"/>
              <w:right w:val="single" w:color="000000" w:sz="4" w:space="0"/>
            </w:tcBorders>
            <w:tcMar>
              <w:top w:w="0" w:type="dxa"/>
              <w:left w:w="105" w:type="dxa"/>
              <w:bottom w:w="0" w:type="dxa"/>
              <w:right w:w="105" w:type="dxa"/>
            </w:tcMar>
            <w:vAlign w:val="top"/>
          </w:tcPr>
          <w:p w14:paraId="67710A38">
            <w:pPr>
              <w:pStyle w:val="4"/>
              <w:jc w:val="center"/>
              <w:rPr>
                <w:highlight w:val="none"/>
              </w:rPr>
            </w:pPr>
            <w:r>
              <w:rPr>
                <w:rFonts w:ascii="仿宋_GB2312" w:hAnsi="仿宋_GB2312" w:eastAsia="仿宋_GB2312" w:cs="仿宋_GB2312"/>
                <w:color w:val="000000"/>
                <w:sz w:val="24"/>
                <w:highlight w:val="none"/>
              </w:rPr>
              <w:t>各类灯具维修范围不超过5米高空作业</w:t>
            </w:r>
          </w:p>
        </w:tc>
      </w:tr>
      <w:tr w14:paraId="1972E4B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01" w:type="dxa"/>
            <w:vMerge w:val="continue"/>
            <w:tcBorders>
              <w:top w:val="nil"/>
              <w:left w:val="single" w:color="000000" w:sz="4" w:space="0"/>
              <w:bottom w:val="single" w:color="000000" w:sz="4" w:space="0"/>
              <w:right w:val="single" w:color="000000" w:sz="4" w:space="0"/>
            </w:tcBorders>
          </w:tcPr>
          <w:p w14:paraId="2DFFF0F9">
            <w:pPr>
              <w:rPr>
                <w:highlight w:val="none"/>
              </w:rPr>
            </w:pPr>
          </w:p>
        </w:tc>
        <w:tc>
          <w:tcPr>
            <w:tcW w:w="6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5DA6A955">
            <w:pPr>
              <w:pStyle w:val="4"/>
              <w:jc w:val="center"/>
              <w:rPr>
                <w:highlight w:val="none"/>
              </w:rPr>
            </w:pPr>
            <w:r>
              <w:rPr>
                <w:rFonts w:ascii="仿宋_GB2312" w:hAnsi="仿宋_GB2312" w:eastAsia="仿宋_GB2312" w:cs="仿宋_GB2312"/>
                <w:color w:val="000000"/>
                <w:sz w:val="24"/>
                <w:highlight w:val="none"/>
              </w:rPr>
              <w:t>10</w:t>
            </w:r>
          </w:p>
        </w:tc>
        <w:tc>
          <w:tcPr>
            <w:tcW w:w="4941" w:type="dxa"/>
            <w:tcBorders>
              <w:top w:val="nil"/>
              <w:left w:val="nil"/>
              <w:bottom w:val="single" w:color="000000" w:sz="4" w:space="0"/>
              <w:right w:val="single" w:color="000000" w:sz="4" w:space="0"/>
            </w:tcBorders>
            <w:tcMar>
              <w:top w:w="0" w:type="dxa"/>
              <w:left w:w="105" w:type="dxa"/>
              <w:bottom w:w="0" w:type="dxa"/>
              <w:right w:w="105" w:type="dxa"/>
            </w:tcMar>
            <w:vAlign w:val="top"/>
          </w:tcPr>
          <w:p w14:paraId="1E389D49">
            <w:pPr>
              <w:pStyle w:val="4"/>
              <w:jc w:val="center"/>
              <w:rPr>
                <w:highlight w:val="none"/>
              </w:rPr>
            </w:pPr>
            <w:r>
              <w:rPr>
                <w:rFonts w:ascii="仿宋_GB2312" w:hAnsi="仿宋_GB2312" w:eastAsia="仿宋_GB2312" w:cs="仿宋_GB2312"/>
                <w:color w:val="000000"/>
                <w:sz w:val="24"/>
                <w:highlight w:val="none"/>
              </w:rPr>
              <w:t>各类电源开关（插座）维修（更换）</w:t>
            </w:r>
          </w:p>
        </w:tc>
        <w:tc>
          <w:tcPr>
            <w:tcW w:w="1922" w:type="dxa"/>
            <w:tcBorders>
              <w:top w:val="nil"/>
              <w:left w:val="nil"/>
              <w:bottom w:val="single" w:color="000000" w:sz="4" w:space="0"/>
              <w:right w:val="single" w:color="000000" w:sz="4" w:space="0"/>
            </w:tcBorders>
            <w:tcMar>
              <w:top w:w="0" w:type="dxa"/>
              <w:left w:w="105" w:type="dxa"/>
              <w:bottom w:w="0" w:type="dxa"/>
              <w:right w:w="105" w:type="dxa"/>
            </w:tcMar>
            <w:vAlign w:val="top"/>
          </w:tcPr>
          <w:p w14:paraId="35045757">
            <w:pPr>
              <w:pStyle w:val="4"/>
              <w:jc w:val="center"/>
              <w:rPr>
                <w:highlight w:val="none"/>
              </w:rPr>
            </w:pPr>
            <w:r>
              <w:rPr>
                <w:rFonts w:ascii="仿宋_GB2312" w:hAnsi="仿宋_GB2312" w:eastAsia="仿宋_GB2312" w:cs="仿宋_GB2312"/>
                <w:color w:val="000000"/>
                <w:sz w:val="24"/>
                <w:highlight w:val="none"/>
              </w:rPr>
              <w:t>不含电子触摸感应开关</w:t>
            </w:r>
          </w:p>
        </w:tc>
      </w:tr>
      <w:tr w14:paraId="6923294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01" w:type="dxa"/>
            <w:vMerge w:val="continue"/>
            <w:tcBorders>
              <w:top w:val="nil"/>
              <w:left w:val="single" w:color="000000" w:sz="4" w:space="0"/>
              <w:bottom w:val="single" w:color="000000" w:sz="4" w:space="0"/>
              <w:right w:val="single" w:color="000000" w:sz="4" w:space="0"/>
            </w:tcBorders>
          </w:tcPr>
          <w:p w14:paraId="6668B50A">
            <w:pPr>
              <w:rPr>
                <w:highlight w:val="none"/>
              </w:rPr>
            </w:pPr>
          </w:p>
        </w:tc>
        <w:tc>
          <w:tcPr>
            <w:tcW w:w="6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22D14199">
            <w:pPr>
              <w:pStyle w:val="4"/>
              <w:jc w:val="center"/>
              <w:rPr>
                <w:highlight w:val="none"/>
              </w:rPr>
            </w:pPr>
            <w:r>
              <w:rPr>
                <w:rFonts w:ascii="仿宋_GB2312" w:hAnsi="仿宋_GB2312" w:eastAsia="仿宋_GB2312" w:cs="仿宋_GB2312"/>
                <w:color w:val="000000"/>
                <w:sz w:val="24"/>
                <w:highlight w:val="none"/>
              </w:rPr>
              <w:t>11</w:t>
            </w:r>
          </w:p>
        </w:tc>
        <w:tc>
          <w:tcPr>
            <w:tcW w:w="4941" w:type="dxa"/>
            <w:tcBorders>
              <w:top w:val="nil"/>
              <w:left w:val="nil"/>
              <w:bottom w:val="single" w:color="000000" w:sz="4" w:space="0"/>
              <w:right w:val="single" w:color="000000" w:sz="4" w:space="0"/>
            </w:tcBorders>
            <w:tcMar>
              <w:top w:w="0" w:type="dxa"/>
              <w:left w:w="105" w:type="dxa"/>
              <w:bottom w:w="0" w:type="dxa"/>
              <w:right w:w="105" w:type="dxa"/>
            </w:tcMar>
            <w:vAlign w:val="top"/>
          </w:tcPr>
          <w:p w14:paraId="551A11D4">
            <w:pPr>
              <w:pStyle w:val="4"/>
              <w:jc w:val="center"/>
              <w:rPr>
                <w:highlight w:val="none"/>
              </w:rPr>
            </w:pPr>
            <w:r>
              <w:rPr>
                <w:rFonts w:ascii="仿宋_GB2312" w:hAnsi="仿宋_GB2312" w:eastAsia="仿宋_GB2312" w:cs="仿宋_GB2312"/>
                <w:color w:val="000000"/>
                <w:sz w:val="24"/>
                <w:highlight w:val="none"/>
              </w:rPr>
              <w:t>简易配电箱维修、电源线路维修、检测</w:t>
            </w:r>
          </w:p>
        </w:tc>
        <w:tc>
          <w:tcPr>
            <w:tcW w:w="1922" w:type="dxa"/>
            <w:tcBorders>
              <w:top w:val="nil"/>
              <w:left w:val="nil"/>
              <w:bottom w:val="single" w:color="000000" w:sz="4" w:space="0"/>
              <w:right w:val="single" w:color="000000" w:sz="4" w:space="0"/>
            </w:tcBorders>
            <w:tcMar>
              <w:top w:w="0" w:type="dxa"/>
              <w:left w:w="105" w:type="dxa"/>
              <w:bottom w:w="0" w:type="dxa"/>
              <w:right w:w="105" w:type="dxa"/>
            </w:tcMar>
            <w:vAlign w:val="top"/>
          </w:tcPr>
          <w:p w14:paraId="4412A522">
            <w:pPr>
              <w:pStyle w:val="4"/>
              <w:jc w:val="center"/>
              <w:rPr>
                <w:highlight w:val="none"/>
              </w:rPr>
            </w:pPr>
          </w:p>
        </w:tc>
      </w:tr>
      <w:tr w14:paraId="6139E28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01" w:type="dxa"/>
            <w:vMerge w:val="continue"/>
            <w:tcBorders>
              <w:top w:val="nil"/>
              <w:left w:val="single" w:color="000000" w:sz="4" w:space="0"/>
              <w:bottom w:val="single" w:color="000000" w:sz="4" w:space="0"/>
              <w:right w:val="single" w:color="000000" w:sz="4" w:space="0"/>
            </w:tcBorders>
          </w:tcPr>
          <w:p w14:paraId="25B1EA0D">
            <w:pPr>
              <w:rPr>
                <w:highlight w:val="none"/>
              </w:rPr>
            </w:pPr>
          </w:p>
        </w:tc>
        <w:tc>
          <w:tcPr>
            <w:tcW w:w="6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7FB93EC5">
            <w:pPr>
              <w:pStyle w:val="4"/>
              <w:jc w:val="center"/>
              <w:rPr>
                <w:highlight w:val="none"/>
              </w:rPr>
            </w:pPr>
            <w:r>
              <w:rPr>
                <w:rFonts w:ascii="仿宋_GB2312" w:hAnsi="仿宋_GB2312" w:eastAsia="仿宋_GB2312" w:cs="仿宋_GB2312"/>
                <w:color w:val="000000"/>
                <w:sz w:val="24"/>
                <w:highlight w:val="none"/>
              </w:rPr>
              <w:t>12</w:t>
            </w:r>
          </w:p>
        </w:tc>
        <w:tc>
          <w:tcPr>
            <w:tcW w:w="4941" w:type="dxa"/>
            <w:tcBorders>
              <w:top w:val="nil"/>
              <w:left w:val="nil"/>
              <w:bottom w:val="single" w:color="000000" w:sz="4" w:space="0"/>
              <w:right w:val="single" w:color="000000" w:sz="4" w:space="0"/>
            </w:tcBorders>
            <w:tcMar>
              <w:top w:w="0" w:type="dxa"/>
              <w:left w:w="105" w:type="dxa"/>
              <w:bottom w:w="0" w:type="dxa"/>
              <w:right w:w="105" w:type="dxa"/>
            </w:tcMar>
            <w:vAlign w:val="top"/>
          </w:tcPr>
          <w:p w14:paraId="4134762F">
            <w:pPr>
              <w:pStyle w:val="4"/>
              <w:jc w:val="center"/>
              <w:rPr>
                <w:highlight w:val="none"/>
              </w:rPr>
            </w:pPr>
            <w:r>
              <w:rPr>
                <w:rFonts w:ascii="仿宋_GB2312" w:hAnsi="仿宋_GB2312" w:eastAsia="仿宋_GB2312" w:cs="仿宋_GB2312"/>
                <w:color w:val="000000"/>
                <w:sz w:val="24"/>
                <w:highlight w:val="none"/>
              </w:rPr>
              <w:t>拆换家具抽屉轨道</w:t>
            </w:r>
          </w:p>
        </w:tc>
        <w:tc>
          <w:tcPr>
            <w:tcW w:w="1922" w:type="dxa"/>
            <w:tcBorders>
              <w:top w:val="nil"/>
              <w:left w:val="nil"/>
              <w:bottom w:val="single" w:color="000000" w:sz="4" w:space="0"/>
              <w:right w:val="single" w:color="000000" w:sz="4" w:space="0"/>
            </w:tcBorders>
            <w:tcMar>
              <w:top w:w="0" w:type="dxa"/>
              <w:left w:w="105" w:type="dxa"/>
              <w:bottom w:w="0" w:type="dxa"/>
              <w:right w:w="105" w:type="dxa"/>
            </w:tcMar>
            <w:vAlign w:val="top"/>
          </w:tcPr>
          <w:p w14:paraId="4634CDBC">
            <w:pPr>
              <w:pStyle w:val="4"/>
              <w:jc w:val="center"/>
              <w:rPr>
                <w:highlight w:val="none"/>
              </w:rPr>
            </w:pPr>
          </w:p>
        </w:tc>
      </w:tr>
      <w:tr w14:paraId="768CFF8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01" w:type="dxa"/>
            <w:vMerge w:val="continue"/>
            <w:tcBorders>
              <w:top w:val="nil"/>
              <w:left w:val="single" w:color="000000" w:sz="4" w:space="0"/>
              <w:bottom w:val="single" w:color="000000" w:sz="4" w:space="0"/>
              <w:right w:val="single" w:color="000000" w:sz="4" w:space="0"/>
            </w:tcBorders>
          </w:tcPr>
          <w:p w14:paraId="18287909">
            <w:pPr>
              <w:rPr>
                <w:highlight w:val="none"/>
              </w:rPr>
            </w:pPr>
          </w:p>
        </w:tc>
        <w:tc>
          <w:tcPr>
            <w:tcW w:w="6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0469B078">
            <w:pPr>
              <w:pStyle w:val="4"/>
              <w:jc w:val="center"/>
              <w:rPr>
                <w:highlight w:val="none"/>
              </w:rPr>
            </w:pPr>
            <w:r>
              <w:rPr>
                <w:rFonts w:ascii="仿宋_GB2312" w:hAnsi="仿宋_GB2312" w:eastAsia="仿宋_GB2312" w:cs="仿宋_GB2312"/>
                <w:color w:val="000000"/>
                <w:sz w:val="24"/>
                <w:highlight w:val="none"/>
              </w:rPr>
              <w:t>13</w:t>
            </w:r>
          </w:p>
        </w:tc>
        <w:tc>
          <w:tcPr>
            <w:tcW w:w="4941" w:type="dxa"/>
            <w:tcBorders>
              <w:top w:val="nil"/>
              <w:left w:val="nil"/>
              <w:bottom w:val="single" w:color="000000" w:sz="4" w:space="0"/>
              <w:right w:val="single" w:color="000000" w:sz="4" w:space="0"/>
            </w:tcBorders>
            <w:tcMar>
              <w:top w:w="0" w:type="dxa"/>
              <w:left w:w="105" w:type="dxa"/>
              <w:bottom w:w="0" w:type="dxa"/>
              <w:right w:w="105" w:type="dxa"/>
            </w:tcMar>
            <w:vAlign w:val="top"/>
          </w:tcPr>
          <w:p w14:paraId="562AE545">
            <w:pPr>
              <w:pStyle w:val="4"/>
              <w:jc w:val="center"/>
              <w:rPr>
                <w:highlight w:val="none"/>
              </w:rPr>
            </w:pPr>
            <w:r>
              <w:rPr>
                <w:rFonts w:ascii="仿宋_GB2312" w:hAnsi="仿宋_GB2312" w:eastAsia="仿宋_GB2312" w:cs="仿宋_GB2312"/>
                <w:color w:val="000000"/>
                <w:sz w:val="24"/>
                <w:highlight w:val="none"/>
              </w:rPr>
              <w:t>马桶水箱、水箱排水管漏水维修（含零星更换）</w:t>
            </w:r>
          </w:p>
        </w:tc>
        <w:tc>
          <w:tcPr>
            <w:tcW w:w="1922" w:type="dxa"/>
            <w:tcBorders>
              <w:top w:val="nil"/>
              <w:left w:val="nil"/>
              <w:bottom w:val="single" w:color="000000" w:sz="4" w:space="0"/>
              <w:right w:val="single" w:color="000000" w:sz="4" w:space="0"/>
            </w:tcBorders>
            <w:tcMar>
              <w:top w:w="0" w:type="dxa"/>
              <w:left w:w="105" w:type="dxa"/>
              <w:bottom w:w="0" w:type="dxa"/>
              <w:right w:w="105" w:type="dxa"/>
            </w:tcMar>
            <w:vAlign w:val="top"/>
          </w:tcPr>
          <w:p w14:paraId="765E39D8">
            <w:pPr>
              <w:pStyle w:val="4"/>
              <w:jc w:val="center"/>
              <w:rPr>
                <w:highlight w:val="none"/>
              </w:rPr>
            </w:pPr>
          </w:p>
        </w:tc>
      </w:tr>
      <w:tr w14:paraId="0DFF3E6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01" w:type="dxa"/>
            <w:vMerge w:val="continue"/>
            <w:tcBorders>
              <w:top w:val="nil"/>
              <w:left w:val="single" w:color="000000" w:sz="4" w:space="0"/>
              <w:bottom w:val="single" w:color="000000" w:sz="4" w:space="0"/>
              <w:right w:val="single" w:color="000000" w:sz="4" w:space="0"/>
            </w:tcBorders>
          </w:tcPr>
          <w:p w14:paraId="6C59F942">
            <w:pPr>
              <w:rPr>
                <w:highlight w:val="none"/>
              </w:rPr>
            </w:pPr>
          </w:p>
        </w:tc>
        <w:tc>
          <w:tcPr>
            <w:tcW w:w="6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40E1B4E0">
            <w:pPr>
              <w:pStyle w:val="4"/>
              <w:jc w:val="center"/>
              <w:rPr>
                <w:highlight w:val="none"/>
              </w:rPr>
            </w:pPr>
            <w:r>
              <w:rPr>
                <w:rFonts w:ascii="仿宋_GB2312" w:hAnsi="仿宋_GB2312" w:eastAsia="仿宋_GB2312" w:cs="仿宋_GB2312"/>
                <w:color w:val="000000"/>
                <w:sz w:val="24"/>
                <w:highlight w:val="none"/>
              </w:rPr>
              <w:t>14</w:t>
            </w:r>
          </w:p>
        </w:tc>
        <w:tc>
          <w:tcPr>
            <w:tcW w:w="4941" w:type="dxa"/>
            <w:tcBorders>
              <w:top w:val="nil"/>
              <w:left w:val="nil"/>
              <w:bottom w:val="single" w:color="000000" w:sz="4" w:space="0"/>
              <w:right w:val="single" w:color="000000" w:sz="4" w:space="0"/>
            </w:tcBorders>
            <w:tcMar>
              <w:top w:w="0" w:type="dxa"/>
              <w:left w:w="105" w:type="dxa"/>
              <w:bottom w:w="0" w:type="dxa"/>
              <w:right w:w="105" w:type="dxa"/>
            </w:tcMar>
            <w:vAlign w:val="top"/>
          </w:tcPr>
          <w:p w14:paraId="3C51C6CD">
            <w:pPr>
              <w:pStyle w:val="4"/>
              <w:jc w:val="center"/>
              <w:rPr>
                <w:highlight w:val="none"/>
              </w:rPr>
            </w:pPr>
            <w:r>
              <w:rPr>
                <w:rFonts w:ascii="仿宋_GB2312" w:hAnsi="仿宋_GB2312" w:eastAsia="仿宋_GB2312" w:cs="仿宋_GB2312"/>
                <w:color w:val="000000"/>
                <w:sz w:val="24"/>
                <w:highlight w:val="none"/>
              </w:rPr>
              <w:t>吊顶扣板维修（含扣板更换5平方以内）</w:t>
            </w:r>
          </w:p>
        </w:tc>
        <w:tc>
          <w:tcPr>
            <w:tcW w:w="1922" w:type="dxa"/>
            <w:tcBorders>
              <w:top w:val="nil"/>
              <w:left w:val="nil"/>
              <w:bottom w:val="single" w:color="000000" w:sz="4" w:space="0"/>
              <w:right w:val="single" w:color="000000" w:sz="4" w:space="0"/>
            </w:tcBorders>
            <w:tcMar>
              <w:top w:w="0" w:type="dxa"/>
              <w:left w:w="105" w:type="dxa"/>
              <w:bottom w:w="0" w:type="dxa"/>
              <w:right w:w="105" w:type="dxa"/>
            </w:tcMar>
            <w:vAlign w:val="top"/>
          </w:tcPr>
          <w:p w14:paraId="5470BAB2">
            <w:pPr>
              <w:pStyle w:val="4"/>
              <w:jc w:val="center"/>
              <w:rPr>
                <w:highlight w:val="none"/>
              </w:rPr>
            </w:pPr>
            <w:r>
              <w:rPr>
                <w:rFonts w:ascii="仿宋_GB2312" w:hAnsi="仿宋_GB2312" w:eastAsia="仿宋_GB2312" w:cs="仿宋_GB2312"/>
                <w:color w:val="000000"/>
                <w:sz w:val="24"/>
                <w:highlight w:val="none"/>
              </w:rPr>
              <w:t>不含吊顶龙骨架维修</w:t>
            </w:r>
          </w:p>
        </w:tc>
      </w:tr>
      <w:tr w14:paraId="2CDF9FA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01" w:type="dxa"/>
            <w:vMerge w:val="continue"/>
            <w:tcBorders>
              <w:top w:val="nil"/>
              <w:left w:val="single" w:color="000000" w:sz="4" w:space="0"/>
              <w:bottom w:val="single" w:color="000000" w:sz="4" w:space="0"/>
              <w:right w:val="single" w:color="000000" w:sz="4" w:space="0"/>
            </w:tcBorders>
          </w:tcPr>
          <w:p w14:paraId="3B48F4D4">
            <w:pPr>
              <w:rPr>
                <w:highlight w:val="none"/>
              </w:rPr>
            </w:pPr>
          </w:p>
        </w:tc>
        <w:tc>
          <w:tcPr>
            <w:tcW w:w="6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3E5C88C1">
            <w:pPr>
              <w:pStyle w:val="4"/>
              <w:jc w:val="center"/>
              <w:rPr>
                <w:highlight w:val="none"/>
              </w:rPr>
            </w:pPr>
            <w:r>
              <w:rPr>
                <w:rFonts w:ascii="仿宋_GB2312" w:hAnsi="仿宋_GB2312" w:eastAsia="仿宋_GB2312" w:cs="仿宋_GB2312"/>
                <w:color w:val="000000"/>
                <w:sz w:val="24"/>
                <w:highlight w:val="none"/>
              </w:rPr>
              <w:t>15</w:t>
            </w:r>
          </w:p>
        </w:tc>
        <w:tc>
          <w:tcPr>
            <w:tcW w:w="4941" w:type="dxa"/>
            <w:tcBorders>
              <w:top w:val="nil"/>
              <w:left w:val="nil"/>
              <w:bottom w:val="single" w:color="000000" w:sz="4" w:space="0"/>
              <w:right w:val="single" w:color="000000" w:sz="4" w:space="0"/>
            </w:tcBorders>
            <w:tcMar>
              <w:top w:w="0" w:type="dxa"/>
              <w:left w:w="105" w:type="dxa"/>
              <w:bottom w:w="0" w:type="dxa"/>
              <w:right w:w="105" w:type="dxa"/>
            </w:tcMar>
            <w:vAlign w:val="top"/>
          </w:tcPr>
          <w:p w14:paraId="06509638">
            <w:pPr>
              <w:pStyle w:val="4"/>
              <w:jc w:val="center"/>
              <w:rPr>
                <w:highlight w:val="none"/>
              </w:rPr>
            </w:pPr>
            <w:r>
              <w:rPr>
                <w:rFonts w:ascii="仿宋_GB2312" w:hAnsi="仿宋_GB2312" w:eastAsia="仿宋_GB2312" w:cs="仿宋_GB2312"/>
                <w:color w:val="000000"/>
                <w:sz w:val="24"/>
                <w:highlight w:val="none"/>
              </w:rPr>
              <w:t>教学区公共厕所门扣、门隔板维修（更换）</w:t>
            </w:r>
          </w:p>
        </w:tc>
        <w:tc>
          <w:tcPr>
            <w:tcW w:w="1922" w:type="dxa"/>
            <w:tcBorders>
              <w:top w:val="nil"/>
              <w:left w:val="nil"/>
              <w:bottom w:val="single" w:color="000000" w:sz="4" w:space="0"/>
              <w:right w:val="single" w:color="000000" w:sz="4" w:space="0"/>
            </w:tcBorders>
            <w:tcMar>
              <w:top w:w="0" w:type="dxa"/>
              <w:left w:w="105" w:type="dxa"/>
              <w:bottom w:w="0" w:type="dxa"/>
              <w:right w:w="105" w:type="dxa"/>
            </w:tcMar>
            <w:vAlign w:val="top"/>
          </w:tcPr>
          <w:p w14:paraId="351DD786">
            <w:pPr>
              <w:pStyle w:val="4"/>
              <w:jc w:val="center"/>
              <w:rPr>
                <w:highlight w:val="none"/>
              </w:rPr>
            </w:pPr>
          </w:p>
        </w:tc>
      </w:tr>
      <w:tr w14:paraId="18317E7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01" w:type="dxa"/>
            <w:vMerge w:val="continue"/>
            <w:tcBorders>
              <w:top w:val="nil"/>
              <w:left w:val="single" w:color="000000" w:sz="4" w:space="0"/>
              <w:bottom w:val="single" w:color="000000" w:sz="4" w:space="0"/>
              <w:right w:val="single" w:color="000000" w:sz="4" w:space="0"/>
            </w:tcBorders>
          </w:tcPr>
          <w:p w14:paraId="15E78FEE">
            <w:pPr>
              <w:rPr>
                <w:highlight w:val="none"/>
              </w:rPr>
            </w:pPr>
          </w:p>
        </w:tc>
        <w:tc>
          <w:tcPr>
            <w:tcW w:w="6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454414BC">
            <w:pPr>
              <w:pStyle w:val="4"/>
              <w:jc w:val="center"/>
              <w:rPr>
                <w:highlight w:val="none"/>
              </w:rPr>
            </w:pPr>
            <w:r>
              <w:rPr>
                <w:rFonts w:ascii="仿宋_GB2312" w:hAnsi="仿宋_GB2312" w:eastAsia="仿宋_GB2312" w:cs="仿宋_GB2312"/>
                <w:color w:val="000000"/>
                <w:sz w:val="24"/>
                <w:highlight w:val="none"/>
              </w:rPr>
              <w:t>16</w:t>
            </w:r>
          </w:p>
        </w:tc>
        <w:tc>
          <w:tcPr>
            <w:tcW w:w="4941" w:type="dxa"/>
            <w:tcBorders>
              <w:top w:val="nil"/>
              <w:left w:val="nil"/>
              <w:bottom w:val="single" w:color="000000" w:sz="4" w:space="0"/>
              <w:right w:val="single" w:color="000000" w:sz="4" w:space="0"/>
            </w:tcBorders>
            <w:tcMar>
              <w:top w:w="0" w:type="dxa"/>
              <w:left w:w="105" w:type="dxa"/>
              <w:bottom w:w="0" w:type="dxa"/>
              <w:right w:w="105" w:type="dxa"/>
            </w:tcMar>
            <w:vAlign w:val="top"/>
          </w:tcPr>
          <w:p w14:paraId="1A9E7020">
            <w:pPr>
              <w:pStyle w:val="4"/>
              <w:jc w:val="center"/>
              <w:rPr>
                <w:highlight w:val="none"/>
              </w:rPr>
            </w:pPr>
            <w:r>
              <w:rPr>
                <w:rFonts w:ascii="仿宋_GB2312" w:hAnsi="仿宋_GB2312" w:eastAsia="仿宋_GB2312" w:cs="仿宋_GB2312"/>
                <w:color w:val="000000"/>
                <w:sz w:val="24"/>
                <w:highlight w:val="none"/>
              </w:rPr>
              <w:t>卫生间蹲盆破碎更换</w:t>
            </w:r>
          </w:p>
        </w:tc>
        <w:tc>
          <w:tcPr>
            <w:tcW w:w="1922" w:type="dxa"/>
            <w:tcBorders>
              <w:top w:val="nil"/>
              <w:left w:val="nil"/>
              <w:bottom w:val="single" w:color="000000" w:sz="4" w:space="0"/>
              <w:right w:val="single" w:color="000000" w:sz="4" w:space="0"/>
            </w:tcBorders>
            <w:tcMar>
              <w:top w:w="0" w:type="dxa"/>
              <w:left w:w="105" w:type="dxa"/>
              <w:bottom w:w="0" w:type="dxa"/>
              <w:right w:w="105" w:type="dxa"/>
            </w:tcMar>
            <w:vAlign w:val="top"/>
          </w:tcPr>
          <w:p w14:paraId="741E1572">
            <w:pPr>
              <w:pStyle w:val="4"/>
              <w:jc w:val="center"/>
              <w:rPr>
                <w:highlight w:val="none"/>
              </w:rPr>
            </w:pPr>
          </w:p>
        </w:tc>
      </w:tr>
      <w:tr w14:paraId="03451B3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01" w:type="dxa"/>
            <w:vMerge w:val="continue"/>
            <w:tcBorders>
              <w:top w:val="nil"/>
              <w:left w:val="single" w:color="000000" w:sz="4" w:space="0"/>
              <w:bottom w:val="single" w:color="000000" w:sz="4" w:space="0"/>
              <w:right w:val="single" w:color="000000" w:sz="4" w:space="0"/>
            </w:tcBorders>
          </w:tcPr>
          <w:p w14:paraId="26D57B6F">
            <w:pPr>
              <w:rPr>
                <w:highlight w:val="none"/>
              </w:rPr>
            </w:pPr>
          </w:p>
        </w:tc>
        <w:tc>
          <w:tcPr>
            <w:tcW w:w="6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677E32DB">
            <w:pPr>
              <w:pStyle w:val="4"/>
              <w:jc w:val="center"/>
              <w:rPr>
                <w:highlight w:val="none"/>
              </w:rPr>
            </w:pPr>
            <w:r>
              <w:rPr>
                <w:rFonts w:ascii="仿宋_GB2312" w:hAnsi="仿宋_GB2312" w:eastAsia="仿宋_GB2312" w:cs="仿宋_GB2312"/>
                <w:color w:val="000000"/>
                <w:sz w:val="24"/>
                <w:highlight w:val="none"/>
              </w:rPr>
              <w:t>17</w:t>
            </w:r>
          </w:p>
        </w:tc>
        <w:tc>
          <w:tcPr>
            <w:tcW w:w="4941" w:type="dxa"/>
            <w:tcBorders>
              <w:top w:val="nil"/>
              <w:left w:val="nil"/>
              <w:bottom w:val="single" w:color="000000" w:sz="4" w:space="0"/>
              <w:right w:val="single" w:color="000000" w:sz="4" w:space="0"/>
            </w:tcBorders>
            <w:tcMar>
              <w:top w:w="0" w:type="dxa"/>
              <w:left w:w="105" w:type="dxa"/>
              <w:bottom w:w="0" w:type="dxa"/>
              <w:right w:w="105" w:type="dxa"/>
            </w:tcMar>
            <w:vAlign w:val="top"/>
          </w:tcPr>
          <w:p w14:paraId="597AFCFE">
            <w:pPr>
              <w:pStyle w:val="4"/>
              <w:jc w:val="both"/>
              <w:rPr>
                <w:highlight w:val="none"/>
              </w:rPr>
            </w:pPr>
            <w:r>
              <w:rPr>
                <w:rFonts w:ascii="仿宋_GB2312" w:hAnsi="仿宋_GB2312" w:eastAsia="仿宋_GB2312" w:cs="仿宋_GB2312"/>
                <w:color w:val="000000"/>
                <w:sz w:val="24"/>
                <w:highlight w:val="none"/>
              </w:rPr>
              <w:t>电热水器除内胆漏水外的所有维修；维保期内电气设备类（空调、电风扇、热水器等）机体出现故障联系品牌售后进行维保；排气扇、电风扇、风扇调速器维修（更换）</w:t>
            </w:r>
          </w:p>
        </w:tc>
        <w:tc>
          <w:tcPr>
            <w:tcW w:w="1922" w:type="dxa"/>
            <w:tcBorders>
              <w:top w:val="nil"/>
              <w:left w:val="nil"/>
              <w:bottom w:val="single" w:color="000000" w:sz="4" w:space="0"/>
              <w:right w:val="single" w:color="000000" w:sz="4" w:space="0"/>
            </w:tcBorders>
            <w:tcMar>
              <w:top w:w="0" w:type="dxa"/>
              <w:left w:w="105" w:type="dxa"/>
              <w:bottom w:w="0" w:type="dxa"/>
              <w:right w:w="105" w:type="dxa"/>
            </w:tcMar>
            <w:vAlign w:val="top"/>
          </w:tcPr>
          <w:p w14:paraId="53BE31D2">
            <w:pPr>
              <w:pStyle w:val="4"/>
              <w:jc w:val="center"/>
              <w:rPr>
                <w:highlight w:val="none"/>
              </w:rPr>
            </w:pPr>
          </w:p>
        </w:tc>
      </w:tr>
      <w:tr w14:paraId="2C93BAE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01" w:type="dxa"/>
            <w:vMerge w:val="continue"/>
            <w:tcBorders>
              <w:top w:val="nil"/>
              <w:left w:val="single" w:color="000000" w:sz="4" w:space="0"/>
              <w:bottom w:val="single" w:color="000000" w:sz="4" w:space="0"/>
              <w:right w:val="single" w:color="000000" w:sz="4" w:space="0"/>
            </w:tcBorders>
          </w:tcPr>
          <w:p w14:paraId="71C861F5">
            <w:pPr>
              <w:rPr>
                <w:highlight w:val="none"/>
              </w:rPr>
            </w:pPr>
          </w:p>
        </w:tc>
        <w:tc>
          <w:tcPr>
            <w:tcW w:w="6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03E28F18">
            <w:pPr>
              <w:pStyle w:val="4"/>
              <w:jc w:val="center"/>
              <w:rPr>
                <w:highlight w:val="none"/>
              </w:rPr>
            </w:pPr>
            <w:r>
              <w:rPr>
                <w:rFonts w:ascii="仿宋_GB2312" w:hAnsi="仿宋_GB2312" w:eastAsia="仿宋_GB2312" w:cs="仿宋_GB2312"/>
                <w:color w:val="000000"/>
                <w:sz w:val="24"/>
                <w:highlight w:val="none"/>
              </w:rPr>
              <w:t>18</w:t>
            </w:r>
          </w:p>
        </w:tc>
        <w:tc>
          <w:tcPr>
            <w:tcW w:w="4941" w:type="dxa"/>
            <w:tcBorders>
              <w:top w:val="nil"/>
              <w:left w:val="nil"/>
              <w:bottom w:val="single" w:color="000000" w:sz="4" w:space="0"/>
              <w:right w:val="single" w:color="000000" w:sz="4" w:space="0"/>
            </w:tcBorders>
            <w:tcMar>
              <w:top w:w="0" w:type="dxa"/>
              <w:left w:w="105" w:type="dxa"/>
              <w:bottom w:w="0" w:type="dxa"/>
              <w:right w:w="105" w:type="dxa"/>
            </w:tcMar>
            <w:vAlign w:val="top"/>
          </w:tcPr>
          <w:p w14:paraId="6F22A5FB">
            <w:pPr>
              <w:pStyle w:val="4"/>
              <w:jc w:val="center"/>
              <w:rPr>
                <w:highlight w:val="none"/>
              </w:rPr>
            </w:pPr>
            <w:r>
              <w:rPr>
                <w:rFonts w:ascii="仿宋_GB2312" w:hAnsi="仿宋_GB2312" w:eastAsia="仿宋_GB2312" w:cs="仿宋_GB2312"/>
                <w:color w:val="000000"/>
                <w:sz w:val="24"/>
                <w:highlight w:val="none"/>
              </w:rPr>
              <w:t>洗衣池落水管漏水维修（更换）</w:t>
            </w:r>
          </w:p>
        </w:tc>
        <w:tc>
          <w:tcPr>
            <w:tcW w:w="1922" w:type="dxa"/>
            <w:tcBorders>
              <w:top w:val="nil"/>
              <w:left w:val="nil"/>
              <w:bottom w:val="single" w:color="000000" w:sz="4" w:space="0"/>
              <w:right w:val="single" w:color="000000" w:sz="4" w:space="0"/>
            </w:tcBorders>
            <w:tcMar>
              <w:top w:w="0" w:type="dxa"/>
              <w:left w:w="105" w:type="dxa"/>
              <w:bottom w:w="0" w:type="dxa"/>
              <w:right w:w="105" w:type="dxa"/>
            </w:tcMar>
            <w:vAlign w:val="top"/>
          </w:tcPr>
          <w:p w14:paraId="70906473">
            <w:pPr>
              <w:pStyle w:val="4"/>
              <w:jc w:val="center"/>
              <w:rPr>
                <w:highlight w:val="none"/>
              </w:rPr>
            </w:pPr>
          </w:p>
        </w:tc>
      </w:tr>
      <w:tr w14:paraId="1CDED94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01" w:type="dxa"/>
            <w:vMerge w:val="continue"/>
            <w:tcBorders>
              <w:top w:val="nil"/>
              <w:left w:val="single" w:color="000000" w:sz="4" w:space="0"/>
              <w:bottom w:val="single" w:color="000000" w:sz="4" w:space="0"/>
              <w:right w:val="single" w:color="000000" w:sz="4" w:space="0"/>
            </w:tcBorders>
          </w:tcPr>
          <w:p w14:paraId="6454615E">
            <w:pPr>
              <w:rPr>
                <w:highlight w:val="none"/>
              </w:rPr>
            </w:pPr>
          </w:p>
        </w:tc>
        <w:tc>
          <w:tcPr>
            <w:tcW w:w="6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364F4B68">
            <w:pPr>
              <w:pStyle w:val="4"/>
              <w:jc w:val="center"/>
              <w:rPr>
                <w:highlight w:val="none"/>
              </w:rPr>
            </w:pPr>
            <w:r>
              <w:rPr>
                <w:rFonts w:ascii="仿宋_GB2312" w:hAnsi="仿宋_GB2312" w:eastAsia="仿宋_GB2312" w:cs="仿宋_GB2312"/>
                <w:color w:val="000000"/>
                <w:sz w:val="24"/>
                <w:highlight w:val="none"/>
              </w:rPr>
              <w:t>19</w:t>
            </w:r>
          </w:p>
        </w:tc>
        <w:tc>
          <w:tcPr>
            <w:tcW w:w="4941" w:type="dxa"/>
            <w:tcBorders>
              <w:top w:val="nil"/>
              <w:left w:val="nil"/>
              <w:bottom w:val="single" w:color="000000" w:sz="4" w:space="0"/>
              <w:right w:val="single" w:color="000000" w:sz="4" w:space="0"/>
            </w:tcBorders>
            <w:tcMar>
              <w:top w:w="0" w:type="dxa"/>
              <w:left w:w="105" w:type="dxa"/>
              <w:bottom w:w="0" w:type="dxa"/>
              <w:right w:w="105" w:type="dxa"/>
            </w:tcMar>
            <w:vAlign w:val="top"/>
          </w:tcPr>
          <w:p w14:paraId="166689E9">
            <w:pPr>
              <w:pStyle w:val="4"/>
              <w:jc w:val="center"/>
              <w:rPr>
                <w:highlight w:val="none"/>
              </w:rPr>
            </w:pPr>
            <w:r>
              <w:rPr>
                <w:rFonts w:ascii="仿宋_GB2312" w:hAnsi="仿宋_GB2312" w:eastAsia="仿宋_GB2312" w:cs="仿宋_GB2312"/>
                <w:color w:val="000000"/>
                <w:sz w:val="24"/>
                <w:highlight w:val="none"/>
              </w:rPr>
              <w:t>维修更换花洒、软管、卡座</w:t>
            </w:r>
          </w:p>
        </w:tc>
        <w:tc>
          <w:tcPr>
            <w:tcW w:w="1922" w:type="dxa"/>
            <w:tcBorders>
              <w:top w:val="nil"/>
              <w:left w:val="nil"/>
              <w:bottom w:val="single" w:color="000000" w:sz="4" w:space="0"/>
              <w:right w:val="single" w:color="000000" w:sz="4" w:space="0"/>
            </w:tcBorders>
            <w:tcMar>
              <w:top w:w="0" w:type="dxa"/>
              <w:left w:w="105" w:type="dxa"/>
              <w:bottom w:w="0" w:type="dxa"/>
              <w:right w:w="105" w:type="dxa"/>
            </w:tcMar>
            <w:vAlign w:val="top"/>
          </w:tcPr>
          <w:p w14:paraId="4F219C47">
            <w:pPr>
              <w:pStyle w:val="4"/>
              <w:jc w:val="center"/>
              <w:rPr>
                <w:highlight w:val="none"/>
              </w:rPr>
            </w:pPr>
          </w:p>
        </w:tc>
      </w:tr>
      <w:tr w14:paraId="6313332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01" w:type="dxa"/>
            <w:vMerge w:val="continue"/>
            <w:tcBorders>
              <w:top w:val="nil"/>
              <w:left w:val="single" w:color="000000" w:sz="4" w:space="0"/>
              <w:bottom w:val="single" w:color="000000" w:sz="4" w:space="0"/>
              <w:right w:val="single" w:color="000000" w:sz="4" w:space="0"/>
            </w:tcBorders>
          </w:tcPr>
          <w:p w14:paraId="0BE495A9">
            <w:pPr>
              <w:rPr>
                <w:highlight w:val="none"/>
              </w:rPr>
            </w:pPr>
          </w:p>
        </w:tc>
        <w:tc>
          <w:tcPr>
            <w:tcW w:w="6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66A94C95">
            <w:pPr>
              <w:pStyle w:val="4"/>
              <w:jc w:val="center"/>
              <w:rPr>
                <w:highlight w:val="none"/>
              </w:rPr>
            </w:pPr>
            <w:r>
              <w:rPr>
                <w:rFonts w:ascii="仿宋_GB2312" w:hAnsi="仿宋_GB2312" w:eastAsia="仿宋_GB2312" w:cs="仿宋_GB2312"/>
                <w:color w:val="000000"/>
                <w:sz w:val="24"/>
                <w:highlight w:val="none"/>
              </w:rPr>
              <w:t>20</w:t>
            </w:r>
          </w:p>
        </w:tc>
        <w:tc>
          <w:tcPr>
            <w:tcW w:w="4941" w:type="dxa"/>
            <w:tcBorders>
              <w:top w:val="nil"/>
              <w:left w:val="nil"/>
              <w:bottom w:val="single" w:color="000000" w:sz="4" w:space="0"/>
              <w:right w:val="single" w:color="000000" w:sz="4" w:space="0"/>
            </w:tcBorders>
            <w:tcMar>
              <w:top w:w="0" w:type="dxa"/>
              <w:left w:w="105" w:type="dxa"/>
              <w:bottom w:w="0" w:type="dxa"/>
              <w:right w:w="105" w:type="dxa"/>
            </w:tcMar>
            <w:vAlign w:val="top"/>
          </w:tcPr>
          <w:p w14:paraId="69609CFF">
            <w:pPr>
              <w:pStyle w:val="4"/>
              <w:jc w:val="center"/>
              <w:rPr>
                <w:highlight w:val="none"/>
              </w:rPr>
            </w:pPr>
            <w:r>
              <w:rPr>
                <w:rFonts w:ascii="仿宋_GB2312" w:hAnsi="仿宋_GB2312" w:eastAsia="仿宋_GB2312" w:cs="仿宋_GB2312"/>
                <w:color w:val="000000"/>
                <w:sz w:val="24"/>
                <w:highlight w:val="none"/>
              </w:rPr>
              <w:t>维修更换各类水龙头、三角阀、混水阀、U型阀、进水阀门、单向阀门、球阀、闸阀门、海底阀、</w:t>
            </w:r>
          </w:p>
        </w:tc>
        <w:tc>
          <w:tcPr>
            <w:tcW w:w="1922" w:type="dxa"/>
            <w:tcBorders>
              <w:top w:val="nil"/>
              <w:left w:val="nil"/>
              <w:bottom w:val="single" w:color="000000" w:sz="4" w:space="0"/>
              <w:right w:val="single" w:color="000000" w:sz="4" w:space="0"/>
            </w:tcBorders>
            <w:tcMar>
              <w:top w:w="0" w:type="dxa"/>
              <w:left w:w="105" w:type="dxa"/>
              <w:bottom w:w="0" w:type="dxa"/>
              <w:right w:w="105" w:type="dxa"/>
            </w:tcMar>
            <w:vAlign w:val="top"/>
          </w:tcPr>
          <w:p w14:paraId="2D4D094D">
            <w:pPr>
              <w:pStyle w:val="4"/>
              <w:jc w:val="center"/>
              <w:rPr>
                <w:highlight w:val="none"/>
              </w:rPr>
            </w:pPr>
          </w:p>
        </w:tc>
      </w:tr>
      <w:tr w14:paraId="42C6087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01" w:type="dxa"/>
            <w:vMerge w:val="continue"/>
            <w:tcBorders>
              <w:top w:val="nil"/>
              <w:left w:val="single" w:color="000000" w:sz="4" w:space="0"/>
              <w:bottom w:val="single" w:color="000000" w:sz="4" w:space="0"/>
              <w:right w:val="single" w:color="000000" w:sz="4" w:space="0"/>
            </w:tcBorders>
          </w:tcPr>
          <w:p w14:paraId="7D49A152">
            <w:pPr>
              <w:rPr>
                <w:highlight w:val="none"/>
              </w:rPr>
            </w:pPr>
          </w:p>
        </w:tc>
        <w:tc>
          <w:tcPr>
            <w:tcW w:w="6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18AA6B23">
            <w:pPr>
              <w:pStyle w:val="4"/>
              <w:jc w:val="center"/>
              <w:rPr>
                <w:highlight w:val="none"/>
              </w:rPr>
            </w:pPr>
            <w:r>
              <w:rPr>
                <w:rFonts w:ascii="仿宋_GB2312" w:hAnsi="仿宋_GB2312" w:eastAsia="仿宋_GB2312" w:cs="仿宋_GB2312"/>
                <w:color w:val="000000"/>
                <w:sz w:val="24"/>
                <w:highlight w:val="none"/>
              </w:rPr>
              <w:t>21</w:t>
            </w:r>
          </w:p>
        </w:tc>
        <w:tc>
          <w:tcPr>
            <w:tcW w:w="4941" w:type="dxa"/>
            <w:tcBorders>
              <w:top w:val="nil"/>
              <w:left w:val="nil"/>
              <w:bottom w:val="single" w:color="000000" w:sz="4" w:space="0"/>
              <w:right w:val="single" w:color="000000" w:sz="4" w:space="0"/>
            </w:tcBorders>
            <w:tcMar>
              <w:top w:w="0" w:type="dxa"/>
              <w:left w:w="105" w:type="dxa"/>
              <w:bottom w:w="0" w:type="dxa"/>
              <w:right w:w="105" w:type="dxa"/>
            </w:tcMar>
            <w:vAlign w:val="top"/>
          </w:tcPr>
          <w:p w14:paraId="0F67D7C3">
            <w:pPr>
              <w:pStyle w:val="4"/>
              <w:jc w:val="center"/>
              <w:rPr>
                <w:highlight w:val="none"/>
              </w:rPr>
            </w:pPr>
            <w:r>
              <w:rPr>
                <w:rFonts w:ascii="仿宋_GB2312" w:hAnsi="仿宋_GB2312" w:eastAsia="仿宋_GB2312" w:cs="仿宋_GB2312"/>
                <w:color w:val="000000"/>
                <w:sz w:val="24"/>
                <w:highlight w:val="none"/>
              </w:rPr>
              <w:t>门锁、柜门锁、抽屉锁维修（更换）、锁芯更换</w:t>
            </w:r>
          </w:p>
        </w:tc>
        <w:tc>
          <w:tcPr>
            <w:tcW w:w="1922" w:type="dxa"/>
            <w:tcBorders>
              <w:top w:val="nil"/>
              <w:left w:val="nil"/>
              <w:bottom w:val="single" w:color="000000" w:sz="4" w:space="0"/>
              <w:right w:val="single" w:color="000000" w:sz="4" w:space="0"/>
            </w:tcBorders>
            <w:tcMar>
              <w:top w:w="0" w:type="dxa"/>
              <w:left w:w="105" w:type="dxa"/>
              <w:bottom w:w="0" w:type="dxa"/>
              <w:right w:w="105" w:type="dxa"/>
            </w:tcMar>
            <w:vAlign w:val="top"/>
          </w:tcPr>
          <w:p w14:paraId="55CBEE87">
            <w:pPr>
              <w:pStyle w:val="4"/>
              <w:jc w:val="center"/>
              <w:rPr>
                <w:highlight w:val="none"/>
              </w:rPr>
            </w:pPr>
            <w:r>
              <w:rPr>
                <w:rFonts w:ascii="仿宋_GB2312" w:hAnsi="仿宋_GB2312" w:eastAsia="仿宋_GB2312" w:cs="仿宋_GB2312"/>
                <w:color w:val="000000"/>
                <w:sz w:val="24"/>
                <w:highlight w:val="none"/>
              </w:rPr>
              <w:t>不含电子锁、人脸识别锁</w:t>
            </w:r>
          </w:p>
        </w:tc>
      </w:tr>
      <w:tr w14:paraId="3B13FAC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01" w:type="dxa"/>
            <w:vMerge w:val="continue"/>
            <w:tcBorders>
              <w:top w:val="nil"/>
              <w:left w:val="single" w:color="000000" w:sz="4" w:space="0"/>
              <w:bottom w:val="single" w:color="000000" w:sz="4" w:space="0"/>
              <w:right w:val="single" w:color="000000" w:sz="4" w:space="0"/>
            </w:tcBorders>
          </w:tcPr>
          <w:p w14:paraId="257C6C45">
            <w:pPr>
              <w:rPr>
                <w:highlight w:val="none"/>
              </w:rPr>
            </w:pPr>
          </w:p>
        </w:tc>
        <w:tc>
          <w:tcPr>
            <w:tcW w:w="6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23A2C8F0">
            <w:pPr>
              <w:pStyle w:val="4"/>
              <w:jc w:val="center"/>
              <w:rPr>
                <w:highlight w:val="none"/>
              </w:rPr>
            </w:pPr>
            <w:r>
              <w:rPr>
                <w:rFonts w:ascii="仿宋_GB2312" w:hAnsi="仿宋_GB2312" w:eastAsia="仿宋_GB2312" w:cs="仿宋_GB2312"/>
                <w:color w:val="000000"/>
                <w:sz w:val="24"/>
                <w:highlight w:val="none"/>
              </w:rPr>
              <w:t>22</w:t>
            </w:r>
          </w:p>
        </w:tc>
        <w:tc>
          <w:tcPr>
            <w:tcW w:w="4941" w:type="dxa"/>
            <w:tcBorders>
              <w:top w:val="nil"/>
              <w:left w:val="nil"/>
              <w:bottom w:val="single" w:color="000000" w:sz="4" w:space="0"/>
              <w:right w:val="single" w:color="000000" w:sz="4" w:space="0"/>
            </w:tcBorders>
            <w:tcMar>
              <w:top w:w="0" w:type="dxa"/>
              <w:left w:w="105" w:type="dxa"/>
              <w:bottom w:w="0" w:type="dxa"/>
              <w:right w:w="105" w:type="dxa"/>
            </w:tcMar>
            <w:vAlign w:val="top"/>
          </w:tcPr>
          <w:p w14:paraId="7C0C487D">
            <w:pPr>
              <w:pStyle w:val="4"/>
              <w:jc w:val="center"/>
              <w:rPr>
                <w:highlight w:val="none"/>
              </w:rPr>
            </w:pPr>
            <w:r>
              <w:rPr>
                <w:rFonts w:ascii="仿宋_GB2312" w:hAnsi="仿宋_GB2312" w:eastAsia="仿宋_GB2312" w:cs="仿宋_GB2312"/>
                <w:color w:val="000000"/>
                <w:sz w:val="24"/>
                <w:highlight w:val="none"/>
              </w:rPr>
              <w:t>门窗把手、门窗合页、门窗滑轮、门栓（插销）、门扣维修（更换）</w:t>
            </w:r>
          </w:p>
        </w:tc>
        <w:tc>
          <w:tcPr>
            <w:tcW w:w="1922" w:type="dxa"/>
            <w:tcBorders>
              <w:top w:val="nil"/>
              <w:left w:val="nil"/>
              <w:bottom w:val="single" w:color="000000" w:sz="4" w:space="0"/>
              <w:right w:val="single" w:color="000000" w:sz="4" w:space="0"/>
            </w:tcBorders>
            <w:tcMar>
              <w:top w:w="0" w:type="dxa"/>
              <w:left w:w="105" w:type="dxa"/>
              <w:bottom w:w="0" w:type="dxa"/>
              <w:right w:w="105" w:type="dxa"/>
            </w:tcMar>
            <w:vAlign w:val="top"/>
          </w:tcPr>
          <w:p w14:paraId="12D40D27">
            <w:pPr>
              <w:pStyle w:val="4"/>
              <w:jc w:val="center"/>
              <w:rPr>
                <w:highlight w:val="none"/>
              </w:rPr>
            </w:pPr>
          </w:p>
        </w:tc>
      </w:tr>
      <w:tr w14:paraId="7B9DDDA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01" w:type="dxa"/>
            <w:vMerge w:val="continue"/>
            <w:tcBorders>
              <w:top w:val="nil"/>
              <w:left w:val="single" w:color="000000" w:sz="4" w:space="0"/>
              <w:bottom w:val="single" w:color="000000" w:sz="4" w:space="0"/>
              <w:right w:val="single" w:color="000000" w:sz="4" w:space="0"/>
            </w:tcBorders>
          </w:tcPr>
          <w:p w14:paraId="735A5130">
            <w:pPr>
              <w:rPr>
                <w:highlight w:val="none"/>
              </w:rPr>
            </w:pPr>
          </w:p>
        </w:tc>
        <w:tc>
          <w:tcPr>
            <w:tcW w:w="6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7C6C02B8">
            <w:pPr>
              <w:pStyle w:val="4"/>
              <w:jc w:val="center"/>
              <w:rPr>
                <w:highlight w:val="none"/>
              </w:rPr>
            </w:pPr>
            <w:r>
              <w:rPr>
                <w:rFonts w:ascii="仿宋_GB2312" w:hAnsi="仿宋_GB2312" w:eastAsia="仿宋_GB2312" w:cs="仿宋_GB2312"/>
                <w:color w:val="000000"/>
                <w:sz w:val="24"/>
                <w:highlight w:val="none"/>
              </w:rPr>
              <w:t>23</w:t>
            </w:r>
          </w:p>
        </w:tc>
        <w:tc>
          <w:tcPr>
            <w:tcW w:w="4941" w:type="dxa"/>
            <w:tcBorders>
              <w:top w:val="nil"/>
              <w:left w:val="nil"/>
              <w:bottom w:val="single" w:color="000000" w:sz="4" w:space="0"/>
              <w:right w:val="single" w:color="000000" w:sz="4" w:space="0"/>
            </w:tcBorders>
            <w:tcMar>
              <w:top w:w="0" w:type="dxa"/>
              <w:left w:w="105" w:type="dxa"/>
              <w:bottom w:w="0" w:type="dxa"/>
              <w:right w:w="105" w:type="dxa"/>
            </w:tcMar>
            <w:vAlign w:val="top"/>
          </w:tcPr>
          <w:p w14:paraId="3858AE3F">
            <w:pPr>
              <w:pStyle w:val="4"/>
              <w:jc w:val="center"/>
              <w:rPr>
                <w:highlight w:val="none"/>
              </w:rPr>
            </w:pPr>
            <w:r>
              <w:rPr>
                <w:rFonts w:ascii="仿宋_GB2312" w:hAnsi="仿宋_GB2312" w:eastAsia="仿宋_GB2312" w:cs="仿宋_GB2312"/>
                <w:color w:val="000000"/>
                <w:sz w:val="24"/>
                <w:highlight w:val="none"/>
              </w:rPr>
              <w:t>门窗玻璃破碎更换</w:t>
            </w:r>
          </w:p>
        </w:tc>
        <w:tc>
          <w:tcPr>
            <w:tcW w:w="1922" w:type="dxa"/>
            <w:tcBorders>
              <w:top w:val="nil"/>
              <w:left w:val="nil"/>
              <w:bottom w:val="single" w:color="000000" w:sz="4" w:space="0"/>
              <w:right w:val="single" w:color="000000" w:sz="4" w:space="0"/>
            </w:tcBorders>
            <w:tcMar>
              <w:top w:w="0" w:type="dxa"/>
              <w:left w:w="105" w:type="dxa"/>
              <w:bottom w:w="0" w:type="dxa"/>
              <w:right w:w="105" w:type="dxa"/>
            </w:tcMar>
            <w:vAlign w:val="top"/>
          </w:tcPr>
          <w:p w14:paraId="686BE781">
            <w:pPr>
              <w:pStyle w:val="4"/>
              <w:jc w:val="center"/>
              <w:rPr>
                <w:highlight w:val="none"/>
              </w:rPr>
            </w:pPr>
            <w:r>
              <w:rPr>
                <w:rFonts w:ascii="仿宋_GB2312" w:hAnsi="仿宋_GB2312" w:eastAsia="仿宋_GB2312" w:cs="仿宋_GB2312"/>
                <w:color w:val="000000"/>
                <w:sz w:val="24"/>
                <w:highlight w:val="none"/>
              </w:rPr>
              <w:t>2平方以内</w:t>
            </w:r>
          </w:p>
        </w:tc>
      </w:tr>
      <w:tr w14:paraId="23E9087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01" w:type="dxa"/>
            <w:vMerge w:val="continue"/>
            <w:tcBorders>
              <w:top w:val="nil"/>
              <w:left w:val="single" w:color="000000" w:sz="4" w:space="0"/>
              <w:bottom w:val="single" w:color="000000" w:sz="4" w:space="0"/>
              <w:right w:val="single" w:color="000000" w:sz="4" w:space="0"/>
            </w:tcBorders>
          </w:tcPr>
          <w:p w14:paraId="385C7DEE">
            <w:pPr>
              <w:rPr>
                <w:highlight w:val="none"/>
              </w:rPr>
            </w:pPr>
          </w:p>
        </w:tc>
        <w:tc>
          <w:tcPr>
            <w:tcW w:w="6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2F551762">
            <w:pPr>
              <w:pStyle w:val="4"/>
              <w:jc w:val="center"/>
              <w:rPr>
                <w:highlight w:val="none"/>
              </w:rPr>
            </w:pPr>
            <w:r>
              <w:rPr>
                <w:rFonts w:ascii="仿宋_GB2312" w:hAnsi="仿宋_GB2312" w:eastAsia="仿宋_GB2312" w:cs="仿宋_GB2312"/>
                <w:color w:val="000000"/>
                <w:sz w:val="24"/>
                <w:highlight w:val="none"/>
              </w:rPr>
              <w:t>24</w:t>
            </w:r>
          </w:p>
        </w:tc>
        <w:tc>
          <w:tcPr>
            <w:tcW w:w="4941" w:type="dxa"/>
            <w:tcBorders>
              <w:top w:val="nil"/>
              <w:left w:val="nil"/>
              <w:bottom w:val="single" w:color="000000" w:sz="4" w:space="0"/>
              <w:right w:val="single" w:color="000000" w:sz="4" w:space="0"/>
            </w:tcBorders>
            <w:tcMar>
              <w:top w:w="0" w:type="dxa"/>
              <w:left w:w="105" w:type="dxa"/>
              <w:bottom w:w="0" w:type="dxa"/>
              <w:right w:w="105" w:type="dxa"/>
            </w:tcMar>
            <w:vAlign w:val="top"/>
          </w:tcPr>
          <w:p w14:paraId="069D6E3E">
            <w:pPr>
              <w:pStyle w:val="4"/>
              <w:jc w:val="center"/>
              <w:rPr>
                <w:highlight w:val="none"/>
              </w:rPr>
            </w:pPr>
            <w:r>
              <w:rPr>
                <w:rFonts w:ascii="仿宋_GB2312" w:hAnsi="仿宋_GB2312" w:eastAsia="仿宋_GB2312" w:cs="仿宋_GB2312"/>
                <w:color w:val="000000"/>
                <w:sz w:val="24"/>
                <w:highlight w:val="none"/>
              </w:rPr>
              <w:t>机房静电板地板维修（更换）</w:t>
            </w:r>
          </w:p>
        </w:tc>
        <w:tc>
          <w:tcPr>
            <w:tcW w:w="1922" w:type="dxa"/>
            <w:tcBorders>
              <w:top w:val="nil"/>
              <w:left w:val="nil"/>
              <w:bottom w:val="single" w:color="000000" w:sz="4" w:space="0"/>
              <w:right w:val="single" w:color="000000" w:sz="4" w:space="0"/>
            </w:tcBorders>
            <w:tcMar>
              <w:top w:w="0" w:type="dxa"/>
              <w:left w:w="105" w:type="dxa"/>
              <w:bottom w:w="0" w:type="dxa"/>
              <w:right w:w="105" w:type="dxa"/>
            </w:tcMar>
            <w:vAlign w:val="top"/>
          </w:tcPr>
          <w:p w14:paraId="2EF809E0">
            <w:pPr>
              <w:pStyle w:val="4"/>
              <w:jc w:val="center"/>
              <w:rPr>
                <w:highlight w:val="none"/>
              </w:rPr>
            </w:pPr>
            <w:r>
              <w:rPr>
                <w:rFonts w:ascii="仿宋_GB2312" w:hAnsi="仿宋_GB2312" w:eastAsia="仿宋_GB2312" w:cs="仿宋_GB2312"/>
                <w:color w:val="000000"/>
                <w:sz w:val="24"/>
                <w:highlight w:val="none"/>
              </w:rPr>
              <w:t>5平方以内</w:t>
            </w:r>
          </w:p>
        </w:tc>
      </w:tr>
      <w:tr w14:paraId="279291A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01" w:type="dxa"/>
            <w:vMerge w:val="continue"/>
            <w:tcBorders>
              <w:top w:val="nil"/>
              <w:left w:val="single" w:color="000000" w:sz="4" w:space="0"/>
              <w:bottom w:val="single" w:color="000000" w:sz="4" w:space="0"/>
              <w:right w:val="single" w:color="000000" w:sz="4" w:space="0"/>
            </w:tcBorders>
          </w:tcPr>
          <w:p w14:paraId="496F1B1C">
            <w:pPr>
              <w:rPr>
                <w:highlight w:val="none"/>
              </w:rPr>
            </w:pPr>
          </w:p>
        </w:tc>
        <w:tc>
          <w:tcPr>
            <w:tcW w:w="6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3F35F7E2">
            <w:pPr>
              <w:pStyle w:val="4"/>
              <w:jc w:val="center"/>
              <w:rPr>
                <w:highlight w:val="none"/>
              </w:rPr>
            </w:pPr>
            <w:r>
              <w:rPr>
                <w:rFonts w:ascii="仿宋_GB2312" w:hAnsi="仿宋_GB2312" w:eastAsia="仿宋_GB2312" w:cs="仿宋_GB2312"/>
                <w:color w:val="000000"/>
                <w:sz w:val="24"/>
                <w:highlight w:val="none"/>
              </w:rPr>
              <w:t>25</w:t>
            </w:r>
          </w:p>
        </w:tc>
        <w:tc>
          <w:tcPr>
            <w:tcW w:w="4941" w:type="dxa"/>
            <w:tcBorders>
              <w:top w:val="nil"/>
              <w:left w:val="nil"/>
              <w:bottom w:val="single" w:color="000000" w:sz="4" w:space="0"/>
              <w:right w:val="single" w:color="000000" w:sz="4" w:space="0"/>
            </w:tcBorders>
            <w:tcMar>
              <w:top w:w="0" w:type="dxa"/>
              <w:left w:w="105" w:type="dxa"/>
              <w:bottom w:w="0" w:type="dxa"/>
              <w:right w:w="105" w:type="dxa"/>
            </w:tcMar>
            <w:vAlign w:val="top"/>
          </w:tcPr>
          <w:p w14:paraId="375A2BD7">
            <w:pPr>
              <w:pStyle w:val="4"/>
              <w:jc w:val="center"/>
              <w:rPr>
                <w:highlight w:val="none"/>
              </w:rPr>
            </w:pPr>
            <w:r>
              <w:rPr>
                <w:rFonts w:ascii="仿宋_GB2312" w:hAnsi="仿宋_GB2312" w:eastAsia="仿宋_GB2312" w:cs="仿宋_GB2312"/>
                <w:color w:val="000000"/>
                <w:sz w:val="24"/>
                <w:highlight w:val="none"/>
              </w:rPr>
              <w:t>窗帘轨道维修（加固）</w:t>
            </w:r>
          </w:p>
        </w:tc>
        <w:tc>
          <w:tcPr>
            <w:tcW w:w="1922" w:type="dxa"/>
            <w:tcBorders>
              <w:top w:val="nil"/>
              <w:left w:val="nil"/>
              <w:bottom w:val="single" w:color="000000" w:sz="4" w:space="0"/>
              <w:right w:val="single" w:color="000000" w:sz="4" w:space="0"/>
            </w:tcBorders>
            <w:tcMar>
              <w:top w:w="0" w:type="dxa"/>
              <w:left w:w="105" w:type="dxa"/>
              <w:bottom w:w="0" w:type="dxa"/>
              <w:right w:w="105" w:type="dxa"/>
            </w:tcMar>
            <w:vAlign w:val="top"/>
          </w:tcPr>
          <w:p w14:paraId="3042A681">
            <w:pPr>
              <w:pStyle w:val="4"/>
              <w:jc w:val="center"/>
              <w:rPr>
                <w:highlight w:val="none"/>
              </w:rPr>
            </w:pPr>
          </w:p>
        </w:tc>
      </w:tr>
      <w:tr w14:paraId="4D2FD08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01"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0945F87">
            <w:pPr>
              <w:pStyle w:val="4"/>
              <w:jc w:val="center"/>
              <w:rPr>
                <w:highlight w:val="none"/>
              </w:rPr>
            </w:pPr>
            <w:r>
              <w:rPr>
                <w:rFonts w:ascii="仿宋_GB2312" w:hAnsi="仿宋_GB2312" w:eastAsia="仿宋_GB2312" w:cs="仿宋_GB2312"/>
                <w:color w:val="000000"/>
                <w:sz w:val="24"/>
                <w:highlight w:val="none"/>
              </w:rPr>
              <w:t>其他</w:t>
            </w:r>
          </w:p>
        </w:tc>
        <w:tc>
          <w:tcPr>
            <w:tcW w:w="6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76345F27">
            <w:pPr>
              <w:pStyle w:val="4"/>
              <w:jc w:val="center"/>
              <w:rPr>
                <w:highlight w:val="none"/>
              </w:rPr>
            </w:pPr>
            <w:r>
              <w:rPr>
                <w:rFonts w:ascii="仿宋_GB2312" w:hAnsi="仿宋_GB2312" w:eastAsia="仿宋_GB2312" w:cs="仿宋_GB2312"/>
                <w:color w:val="000000"/>
                <w:sz w:val="24"/>
                <w:highlight w:val="none"/>
              </w:rPr>
              <w:t>26</w:t>
            </w:r>
          </w:p>
        </w:tc>
        <w:tc>
          <w:tcPr>
            <w:tcW w:w="4941" w:type="dxa"/>
            <w:tcBorders>
              <w:top w:val="nil"/>
              <w:left w:val="nil"/>
              <w:bottom w:val="single" w:color="000000" w:sz="4" w:space="0"/>
              <w:right w:val="single" w:color="000000" w:sz="4" w:space="0"/>
            </w:tcBorders>
            <w:tcMar>
              <w:top w:w="0" w:type="dxa"/>
              <w:left w:w="105" w:type="dxa"/>
              <w:bottom w:w="0" w:type="dxa"/>
              <w:right w:w="105" w:type="dxa"/>
            </w:tcMar>
            <w:vAlign w:val="top"/>
          </w:tcPr>
          <w:p w14:paraId="38B38E1D">
            <w:pPr>
              <w:pStyle w:val="4"/>
              <w:jc w:val="center"/>
              <w:rPr>
                <w:highlight w:val="none"/>
              </w:rPr>
            </w:pPr>
            <w:r>
              <w:rPr>
                <w:rFonts w:ascii="仿宋_GB2312" w:hAnsi="仿宋_GB2312" w:eastAsia="仿宋_GB2312" w:cs="仿宋_GB2312"/>
                <w:color w:val="000000"/>
                <w:sz w:val="24"/>
                <w:highlight w:val="none"/>
              </w:rPr>
              <w:t>园区内其他设施单件材料价格300元以内的日常维修维护以及其他未列入该范围的。</w:t>
            </w:r>
          </w:p>
        </w:tc>
        <w:tc>
          <w:tcPr>
            <w:tcW w:w="1922" w:type="dxa"/>
            <w:tcBorders>
              <w:top w:val="nil"/>
              <w:left w:val="nil"/>
              <w:bottom w:val="single" w:color="000000" w:sz="4" w:space="0"/>
              <w:right w:val="single" w:color="000000" w:sz="4" w:space="0"/>
            </w:tcBorders>
            <w:tcMar>
              <w:top w:w="0" w:type="dxa"/>
              <w:left w:w="105" w:type="dxa"/>
              <w:bottom w:w="0" w:type="dxa"/>
              <w:right w:w="105" w:type="dxa"/>
            </w:tcMar>
            <w:vAlign w:val="top"/>
          </w:tcPr>
          <w:p w14:paraId="58884B61">
            <w:pPr>
              <w:pStyle w:val="4"/>
              <w:jc w:val="center"/>
              <w:rPr>
                <w:highlight w:val="none"/>
              </w:rPr>
            </w:pPr>
          </w:p>
        </w:tc>
      </w:tr>
    </w:tbl>
    <w:p w14:paraId="05686EFD">
      <w:pPr>
        <w:pStyle w:val="4"/>
        <w:jc w:val="both"/>
        <w:rPr>
          <w:highlight w:val="none"/>
        </w:rPr>
      </w:pPr>
      <w:r>
        <w:rPr>
          <w:rFonts w:ascii="仿宋_GB2312" w:hAnsi="仿宋_GB2312" w:eastAsia="仿宋_GB2312" w:cs="仿宋_GB2312"/>
          <w:b/>
          <w:color w:val="000000"/>
          <w:sz w:val="24"/>
          <w:highlight w:val="none"/>
          <w:shd w:val="clear" w:fill="FFFFFF"/>
        </w:rPr>
        <w:t>5.2零星修缮要求</w:t>
      </w:r>
    </w:p>
    <w:p w14:paraId="07CF28E2">
      <w:pPr>
        <w:pStyle w:val="4"/>
        <w:ind w:firstLine="480"/>
        <w:jc w:val="both"/>
        <w:rPr>
          <w:highlight w:val="none"/>
        </w:rPr>
      </w:pPr>
      <w:r>
        <w:rPr>
          <w:rFonts w:ascii="仿宋_GB2312" w:hAnsi="仿宋_GB2312" w:eastAsia="仿宋_GB2312" w:cs="仿宋_GB2312"/>
          <w:color w:val="000000"/>
          <w:sz w:val="24"/>
          <w:highlight w:val="none"/>
          <w:shd w:val="clear" w:fill="FFFFFF"/>
        </w:rPr>
        <w:t>5.2.1负责管理范围内水电土木等日常简易维修，制定设备运行维护和日常维修管理标准及维修方案</w:t>
      </w:r>
      <w:r>
        <w:rPr>
          <w:rFonts w:ascii="仿宋_GB2312" w:hAnsi="仿宋_GB2312" w:eastAsia="仿宋_GB2312" w:cs="仿宋_GB2312"/>
          <w:b/>
          <w:color w:val="000000"/>
          <w:sz w:val="24"/>
          <w:highlight w:val="none"/>
          <w:shd w:val="clear" w:fill="FFFFFF"/>
        </w:rPr>
        <w:t>，</w:t>
      </w:r>
      <w:r>
        <w:rPr>
          <w:rFonts w:ascii="仿宋_GB2312" w:hAnsi="仿宋_GB2312" w:eastAsia="仿宋_GB2312" w:cs="仿宋_GB2312"/>
          <w:color w:val="000000"/>
          <w:sz w:val="24"/>
          <w:highlight w:val="none"/>
          <w:shd w:val="clear" w:fill="FFFFFF"/>
        </w:rPr>
        <w:t>水电维修及节能管理方案，制订电梯管理方案等。停水、停电、自然灾害等各种突发状况的必须无条件应急处置。</w:t>
      </w:r>
    </w:p>
    <w:p w14:paraId="795985DA">
      <w:pPr>
        <w:pStyle w:val="4"/>
        <w:ind w:firstLine="480"/>
        <w:jc w:val="both"/>
        <w:rPr>
          <w:highlight w:val="none"/>
        </w:rPr>
      </w:pPr>
      <w:r>
        <w:rPr>
          <w:rFonts w:ascii="仿宋_GB2312" w:hAnsi="仿宋_GB2312" w:eastAsia="仿宋_GB2312" w:cs="仿宋_GB2312"/>
          <w:color w:val="000000"/>
          <w:sz w:val="24"/>
          <w:highlight w:val="none"/>
          <w:shd w:val="clear" w:fill="FFFFFF"/>
        </w:rPr>
        <w:t>5.2.2做到维修及时、快速，紧急维修响应不超过半小时，小型维修不过夜，专项维修不超过 24 小时，无法及时解决的应在解决时限前及时反馈，无法解决或大范围故障应及时通知管理部门，由管理部门根据实际制定计划后由由物业公司具体实施。</w:t>
      </w:r>
    </w:p>
    <w:p w14:paraId="11179048">
      <w:pPr>
        <w:pStyle w:val="4"/>
        <w:ind w:firstLine="480"/>
        <w:jc w:val="both"/>
        <w:rPr>
          <w:highlight w:val="none"/>
        </w:rPr>
      </w:pPr>
      <w:r>
        <w:rPr>
          <w:rFonts w:ascii="仿宋_GB2312" w:hAnsi="仿宋_GB2312" w:eastAsia="仿宋_GB2312" w:cs="仿宋_GB2312"/>
          <w:color w:val="000000"/>
          <w:sz w:val="24"/>
          <w:highlight w:val="none"/>
          <w:shd w:val="clear" w:fill="FFFFFF"/>
        </w:rPr>
        <w:t>5.2.3中标人建立健全维修维护管理制度和岗位安全责任制度，实行24小时值班制度，落实各级责任人员，做好维修完整记录并建立档案。</w:t>
      </w:r>
    </w:p>
    <w:p w14:paraId="7D3BACF0">
      <w:pPr>
        <w:pStyle w:val="4"/>
        <w:ind w:firstLine="480"/>
        <w:jc w:val="both"/>
        <w:rPr>
          <w:highlight w:val="none"/>
        </w:rPr>
      </w:pPr>
      <w:r>
        <w:rPr>
          <w:rFonts w:ascii="仿宋_GB2312" w:hAnsi="仿宋_GB2312" w:eastAsia="仿宋_GB2312" w:cs="仿宋_GB2312"/>
          <w:color w:val="000000"/>
          <w:sz w:val="24"/>
          <w:highlight w:val="none"/>
          <w:shd w:val="clear" w:fill="FFFFFF"/>
        </w:rPr>
        <w:t>5.2.4日常简易维修按照工程规范实施，修理质量可靠。购买的耗材必须有节能标识及CCC认证，如因中标人原因再次损坏（如维修不牢固、购买伪劣、低劣产品等），中标人除无条件再次修复并承担相应的责任。</w:t>
      </w:r>
    </w:p>
    <w:p w14:paraId="022F2C54">
      <w:pPr>
        <w:pStyle w:val="4"/>
        <w:ind w:firstLine="480"/>
        <w:jc w:val="both"/>
        <w:rPr>
          <w:highlight w:val="none"/>
        </w:rPr>
      </w:pPr>
      <w:r>
        <w:rPr>
          <w:rFonts w:ascii="仿宋_GB2312" w:hAnsi="仿宋_GB2312" w:eastAsia="仿宋_GB2312" w:cs="仿宋_GB2312"/>
          <w:color w:val="000000"/>
          <w:sz w:val="24"/>
          <w:highlight w:val="none"/>
          <w:shd w:val="clear" w:fill="FFFFFF"/>
        </w:rPr>
        <w:t>5.2.5不属于物业管理职责范围的，及时做好对采购人相关职能科室的维修提醒工作。</w:t>
      </w:r>
    </w:p>
    <w:p w14:paraId="47B2661A">
      <w:pPr>
        <w:pStyle w:val="4"/>
        <w:ind w:firstLine="480"/>
        <w:jc w:val="both"/>
        <w:rPr>
          <w:highlight w:val="none"/>
        </w:rPr>
      </w:pPr>
      <w:r>
        <w:rPr>
          <w:rFonts w:ascii="仿宋_GB2312" w:hAnsi="仿宋_GB2312" w:eastAsia="仿宋_GB2312" w:cs="仿宋_GB2312"/>
          <w:color w:val="000000"/>
          <w:sz w:val="24"/>
          <w:highlight w:val="none"/>
          <w:shd w:val="clear" w:fill="FFFFFF"/>
        </w:rPr>
        <w:t>5.2.6做好“差评”维修订单（即维修工程被人投诉态度差、态度恶劣，维修工作多次整改不到位的）的跟踪了解工作，并第一时间跟采购人报告。</w:t>
      </w:r>
    </w:p>
    <w:p w14:paraId="3D712D18">
      <w:pPr>
        <w:pStyle w:val="4"/>
        <w:ind w:firstLine="480"/>
        <w:jc w:val="both"/>
        <w:rPr>
          <w:highlight w:val="none"/>
        </w:rPr>
      </w:pPr>
      <w:r>
        <w:rPr>
          <w:rFonts w:ascii="仿宋_GB2312" w:hAnsi="仿宋_GB2312" w:eastAsia="仿宋_GB2312" w:cs="仿宋_GB2312"/>
          <w:color w:val="000000"/>
          <w:sz w:val="24"/>
          <w:highlight w:val="none"/>
          <w:shd w:val="clear" w:fill="FFFFFF"/>
        </w:rPr>
        <w:t>6.</w:t>
      </w:r>
      <w:r>
        <w:rPr>
          <w:rFonts w:ascii="仿宋_GB2312" w:hAnsi="仿宋_GB2312" w:eastAsia="仿宋_GB2312" w:cs="仿宋_GB2312"/>
          <w:b/>
          <w:color w:val="000000"/>
          <w:sz w:val="24"/>
          <w:highlight w:val="none"/>
          <w:shd w:val="clear" w:fill="FFFFFF"/>
        </w:rPr>
        <w:t>会务服务要求</w:t>
      </w:r>
    </w:p>
    <w:p w14:paraId="1B26D9D4">
      <w:pPr>
        <w:pStyle w:val="4"/>
        <w:ind w:firstLine="480"/>
        <w:jc w:val="both"/>
        <w:rPr>
          <w:highlight w:val="none"/>
        </w:rPr>
      </w:pPr>
      <w:r>
        <w:rPr>
          <w:rFonts w:ascii="仿宋_GB2312" w:hAnsi="仿宋_GB2312" w:eastAsia="仿宋_GB2312" w:cs="仿宋_GB2312"/>
          <w:color w:val="000000"/>
          <w:sz w:val="24"/>
          <w:highlight w:val="none"/>
          <w:shd w:val="clear" w:fill="FFFFFF"/>
        </w:rPr>
        <w:t>6.1人员配备要求：至少配置4名以上会务人员，女性，年龄 35周岁以内，具备两年以上会务工作经历，身体健康，工作认真负责，言行举止文明大方，具有良好的沟通协调能力并定期接受培训；实训大楼至少配置1名楼管，形象端正，举止大方，配合大楼管理部门和福船园保洁主管工作。以上人员须向学院报备后方可使用。</w:t>
      </w:r>
    </w:p>
    <w:p w14:paraId="616FFEC0">
      <w:pPr>
        <w:pStyle w:val="4"/>
        <w:ind w:firstLine="480"/>
        <w:jc w:val="both"/>
        <w:rPr>
          <w:highlight w:val="none"/>
        </w:rPr>
      </w:pPr>
      <w:r>
        <w:rPr>
          <w:rFonts w:ascii="仿宋_GB2312" w:hAnsi="仿宋_GB2312" w:eastAsia="仿宋_GB2312" w:cs="仿宋_GB2312"/>
          <w:color w:val="000000"/>
          <w:sz w:val="24"/>
          <w:highlight w:val="none"/>
          <w:shd w:val="clear" w:fill="FFFFFF"/>
        </w:rPr>
        <w:t>6.2上岗时应着统一具有学院特色定制制服，仪容仪表端庄，精神饱满，行为规范，严格遵守相关规章制度。</w:t>
      </w:r>
    </w:p>
    <w:p w14:paraId="6EF65297">
      <w:pPr>
        <w:pStyle w:val="4"/>
        <w:ind w:firstLine="480"/>
        <w:jc w:val="both"/>
        <w:rPr>
          <w:highlight w:val="none"/>
        </w:rPr>
      </w:pPr>
      <w:r>
        <w:rPr>
          <w:rFonts w:ascii="仿宋_GB2312" w:hAnsi="仿宋_GB2312" w:eastAsia="仿宋_GB2312" w:cs="仿宋_GB2312"/>
          <w:color w:val="000000"/>
          <w:sz w:val="24"/>
          <w:highlight w:val="none"/>
          <w:shd w:val="clear" w:fill="FFFFFF"/>
        </w:rPr>
        <w:t>6.3根据学校会议安排的校级会议，做好会议的服务接待工作。</w:t>
      </w:r>
    </w:p>
    <w:p w14:paraId="11E842B9">
      <w:pPr>
        <w:pStyle w:val="4"/>
        <w:ind w:firstLine="480"/>
        <w:jc w:val="both"/>
        <w:rPr>
          <w:highlight w:val="none"/>
        </w:rPr>
      </w:pPr>
      <w:r>
        <w:rPr>
          <w:rFonts w:ascii="仿宋_GB2312" w:hAnsi="仿宋_GB2312" w:eastAsia="仿宋_GB2312" w:cs="仿宋_GB2312"/>
          <w:color w:val="000000"/>
          <w:sz w:val="24"/>
          <w:highlight w:val="none"/>
          <w:shd w:val="clear" w:fill="FFFFFF"/>
        </w:rPr>
        <w:t>6.4做好会前的准备工作：提前一个小时到场，检查会场的卫生，桌面、地面有无杂物，口杯烟灰缸是否干净；根据天气情况开窗通风或做好空调调试、茶水准备等。</w:t>
      </w:r>
    </w:p>
    <w:p w14:paraId="04366BB1">
      <w:pPr>
        <w:pStyle w:val="4"/>
        <w:ind w:firstLine="480"/>
        <w:jc w:val="both"/>
        <w:rPr>
          <w:highlight w:val="none"/>
        </w:rPr>
      </w:pPr>
      <w:r>
        <w:rPr>
          <w:rFonts w:ascii="仿宋_GB2312" w:hAnsi="仿宋_GB2312" w:eastAsia="仿宋_GB2312" w:cs="仿宋_GB2312"/>
          <w:color w:val="000000"/>
          <w:sz w:val="24"/>
          <w:highlight w:val="none"/>
          <w:shd w:val="clear" w:fill="FFFFFF"/>
        </w:rPr>
        <w:t>6.5做好会中的服务工作：在与会人员落座五分钟内需递上茶水并适时续水；会议期间，服务人员应站在合适的位置，悉心观察会场情况，随时关注与会人员的需求。应将手机调成静音或震动，走动时脚步轻，不喧哗，不做与会议主题无关的事情。</w:t>
      </w:r>
    </w:p>
    <w:p w14:paraId="5811BDB9">
      <w:pPr>
        <w:pStyle w:val="4"/>
        <w:ind w:firstLine="480"/>
        <w:jc w:val="both"/>
        <w:rPr>
          <w:highlight w:val="none"/>
        </w:rPr>
      </w:pPr>
      <w:r>
        <w:rPr>
          <w:rFonts w:ascii="仿宋_GB2312" w:hAnsi="仿宋_GB2312" w:eastAsia="仿宋_GB2312" w:cs="仿宋_GB2312"/>
          <w:color w:val="000000"/>
          <w:sz w:val="24"/>
          <w:highlight w:val="none"/>
          <w:shd w:val="clear" w:fill="FFFFFF"/>
        </w:rPr>
        <w:t>6.6做好会后的恢复工作：做好会场用品的清理、保管、登记等工作，达到随时具备使用条件。</w:t>
      </w:r>
    </w:p>
    <w:p w14:paraId="49481E07">
      <w:pPr>
        <w:pStyle w:val="4"/>
        <w:ind w:firstLine="480"/>
        <w:jc w:val="both"/>
        <w:rPr>
          <w:highlight w:val="none"/>
        </w:rPr>
      </w:pPr>
      <w:r>
        <w:rPr>
          <w:rFonts w:ascii="仿宋_GB2312" w:hAnsi="仿宋_GB2312" w:eastAsia="仿宋_GB2312" w:cs="仿宋_GB2312"/>
          <w:color w:val="000000"/>
          <w:sz w:val="24"/>
          <w:highlight w:val="none"/>
          <w:shd w:val="clear" w:fill="FFFFFF"/>
        </w:rPr>
        <w:t>6.7做好会议的保密工作：不随意翻看会议材料，不将与会人员的讨论、决议等信息外传。</w:t>
      </w:r>
    </w:p>
    <w:p w14:paraId="0F7CAF7B">
      <w:pPr>
        <w:pStyle w:val="4"/>
        <w:ind w:firstLine="480"/>
        <w:jc w:val="both"/>
        <w:rPr>
          <w:highlight w:val="none"/>
        </w:rPr>
      </w:pPr>
      <w:r>
        <w:rPr>
          <w:rFonts w:ascii="仿宋_GB2312" w:hAnsi="仿宋_GB2312" w:eastAsia="仿宋_GB2312" w:cs="仿宋_GB2312"/>
          <w:color w:val="000000"/>
          <w:sz w:val="24"/>
          <w:highlight w:val="none"/>
          <w:shd w:val="clear" w:fill="FFFFFF"/>
        </w:rPr>
        <w:t>6.8会议服务全过程（含会场布置）的劳务服务应由中标人负责，费用包含在物业管理费中。其所涉及的“花卉、条幅、红地毯、迎宾牌” 以及“专业公司提供的礼仪服务、舞台搭设”费用由采购人支付，中标人负责饮品、水果、花卉、条幅、红地毯、迎宾牌摆放及回收和配合搭设及拆除。</w:t>
      </w:r>
    </w:p>
    <w:p w14:paraId="7C1D071C">
      <w:pPr>
        <w:pStyle w:val="4"/>
        <w:ind w:firstLine="482"/>
        <w:jc w:val="both"/>
        <w:rPr>
          <w:highlight w:val="none"/>
        </w:rPr>
      </w:pPr>
      <w:r>
        <w:rPr>
          <w:rFonts w:ascii="仿宋_GB2312" w:hAnsi="仿宋_GB2312" w:eastAsia="仿宋_GB2312" w:cs="仿宋_GB2312"/>
          <w:b/>
          <w:color w:val="000000"/>
          <w:sz w:val="24"/>
          <w:highlight w:val="none"/>
          <w:shd w:val="clear" w:fill="FFFFFF"/>
        </w:rPr>
        <w:t>7、综合服务要求</w:t>
      </w:r>
    </w:p>
    <w:p w14:paraId="1E99B2A2">
      <w:pPr>
        <w:pStyle w:val="4"/>
        <w:ind w:firstLine="480"/>
        <w:jc w:val="both"/>
        <w:rPr>
          <w:highlight w:val="none"/>
        </w:rPr>
      </w:pPr>
      <w:r>
        <w:rPr>
          <w:rFonts w:ascii="仿宋_GB2312" w:hAnsi="仿宋_GB2312" w:eastAsia="仿宋_GB2312" w:cs="仿宋_GB2312"/>
          <w:color w:val="000000"/>
          <w:sz w:val="24"/>
          <w:highlight w:val="none"/>
          <w:shd w:val="clear" w:fill="FFFFFF"/>
        </w:rPr>
        <w:t>7.1公共服务</w:t>
      </w:r>
    </w:p>
    <w:p w14:paraId="7723C5EF">
      <w:pPr>
        <w:pStyle w:val="4"/>
        <w:ind w:firstLine="480"/>
        <w:jc w:val="both"/>
        <w:rPr>
          <w:highlight w:val="none"/>
        </w:rPr>
      </w:pPr>
      <w:r>
        <w:rPr>
          <w:rFonts w:ascii="仿宋_GB2312" w:hAnsi="仿宋_GB2312" w:eastAsia="仿宋_GB2312" w:cs="仿宋_GB2312"/>
          <w:color w:val="000000"/>
          <w:sz w:val="24"/>
          <w:highlight w:val="none"/>
          <w:shd w:val="clear" w:fill="FFFFFF"/>
        </w:rPr>
        <w:t>7.1.1公共业务受理</w:t>
      </w:r>
    </w:p>
    <w:p w14:paraId="6DB1567E">
      <w:pPr>
        <w:pStyle w:val="4"/>
        <w:ind w:firstLine="480"/>
        <w:jc w:val="both"/>
        <w:rPr>
          <w:highlight w:val="none"/>
        </w:rPr>
      </w:pPr>
      <w:r>
        <w:rPr>
          <w:rFonts w:ascii="仿宋_GB2312" w:hAnsi="仿宋_GB2312" w:eastAsia="仿宋_GB2312" w:cs="仿宋_GB2312"/>
          <w:color w:val="000000"/>
          <w:sz w:val="24"/>
          <w:highlight w:val="none"/>
          <w:shd w:val="clear" w:fill="FFFFFF"/>
        </w:rPr>
        <w:t>7.1.1.1设立物业服务中心，24小时服务电话，8小时/天(上午8:00-12:00，下午14:00-18:00)前台服务，中标人应配备专门的服务人员，受理采购人管理部门指定的公共服务类业务。师生咨询、投诉应马上及时响应并作出处理；师生报急修30分钟内进行响应，其它报修按双方约定时间到达现场，有完整的报修、维修记录。能及时有效的完成学校交办的与物业相关任务，争取做到学生、学生家长、老师或相关部门零投诉。</w:t>
      </w:r>
    </w:p>
    <w:p w14:paraId="43ED324C">
      <w:pPr>
        <w:pStyle w:val="4"/>
        <w:ind w:firstLine="480"/>
        <w:jc w:val="both"/>
        <w:rPr>
          <w:highlight w:val="none"/>
        </w:rPr>
      </w:pPr>
      <w:r>
        <w:rPr>
          <w:rFonts w:ascii="仿宋_GB2312" w:hAnsi="仿宋_GB2312" w:eastAsia="仿宋_GB2312" w:cs="仿宋_GB2312"/>
          <w:color w:val="000000"/>
          <w:sz w:val="24"/>
          <w:highlight w:val="none"/>
          <w:shd w:val="clear" w:fill="FFFFFF"/>
        </w:rPr>
        <w:t>7.1.1.2实施夜间值班制度，保证夜间突发事件应急处理的及时有效性。</w:t>
      </w:r>
    </w:p>
    <w:p w14:paraId="7CC7DFB1">
      <w:pPr>
        <w:pStyle w:val="4"/>
        <w:ind w:firstLine="480"/>
        <w:jc w:val="both"/>
        <w:rPr>
          <w:highlight w:val="none"/>
        </w:rPr>
      </w:pPr>
      <w:r>
        <w:rPr>
          <w:rFonts w:ascii="仿宋_GB2312" w:hAnsi="仿宋_GB2312" w:eastAsia="仿宋_GB2312" w:cs="仿宋_GB2312"/>
          <w:color w:val="000000"/>
          <w:sz w:val="24"/>
          <w:highlight w:val="none"/>
          <w:shd w:val="clear" w:fill="FFFFFF"/>
        </w:rPr>
        <w:t>7.1.1.3与采购人管理部门做好房屋及设施设备及景观绿化等交接、接管工作。</w:t>
      </w:r>
    </w:p>
    <w:p w14:paraId="39F09C25">
      <w:pPr>
        <w:pStyle w:val="4"/>
        <w:ind w:firstLine="480"/>
        <w:jc w:val="both"/>
        <w:rPr>
          <w:highlight w:val="none"/>
        </w:rPr>
      </w:pPr>
      <w:r>
        <w:rPr>
          <w:rFonts w:ascii="仿宋_GB2312" w:hAnsi="仿宋_GB2312" w:eastAsia="仿宋_GB2312" w:cs="仿宋_GB2312"/>
          <w:color w:val="000000"/>
          <w:sz w:val="24"/>
          <w:highlight w:val="none"/>
          <w:shd w:val="clear" w:fill="FFFFFF"/>
        </w:rPr>
        <w:t>7.1.1.4受理校园生活场所物资报修、投诉和咨询、协调服务并做好台账记录。</w:t>
      </w:r>
    </w:p>
    <w:p w14:paraId="62DDD63A">
      <w:pPr>
        <w:pStyle w:val="4"/>
        <w:ind w:firstLine="480"/>
        <w:jc w:val="both"/>
        <w:rPr>
          <w:highlight w:val="none"/>
        </w:rPr>
      </w:pPr>
      <w:r>
        <w:rPr>
          <w:rFonts w:ascii="仿宋_GB2312" w:hAnsi="仿宋_GB2312" w:eastAsia="仿宋_GB2312" w:cs="仿宋_GB2312"/>
          <w:color w:val="000000"/>
          <w:sz w:val="24"/>
          <w:highlight w:val="none"/>
          <w:shd w:val="clear" w:fill="FFFFFF"/>
        </w:rPr>
        <w:t>7.1.2投诉处理</w:t>
      </w:r>
    </w:p>
    <w:p w14:paraId="4EA29777">
      <w:pPr>
        <w:pStyle w:val="4"/>
        <w:ind w:firstLine="480"/>
        <w:jc w:val="both"/>
        <w:rPr>
          <w:highlight w:val="none"/>
        </w:rPr>
      </w:pPr>
      <w:r>
        <w:rPr>
          <w:rFonts w:ascii="仿宋_GB2312" w:hAnsi="仿宋_GB2312" w:eastAsia="仿宋_GB2312" w:cs="仿宋_GB2312"/>
          <w:color w:val="000000"/>
          <w:sz w:val="24"/>
          <w:highlight w:val="none"/>
          <w:shd w:val="clear" w:fill="FFFFFF"/>
        </w:rPr>
        <w:t>7.1.2.1物业服务中心直接受理的投诉，应在一个工作日内核实情况、回复处理，特殊情况，最长不超过三个工作日。直接向有关部门的投诉，应查明事实、确认证据、分清责任后尽快如实上报书面材料，协助有关部门做好相应工作。向公安机关报案的投诉，协助公安部门处理。涉及依法裁决的投诉，应按法律程序处理。</w:t>
      </w:r>
    </w:p>
    <w:p w14:paraId="5F1CCB7B">
      <w:pPr>
        <w:pStyle w:val="4"/>
        <w:ind w:firstLine="480"/>
        <w:jc w:val="both"/>
        <w:rPr>
          <w:highlight w:val="none"/>
        </w:rPr>
      </w:pPr>
      <w:r>
        <w:rPr>
          <w:rFonts w:ascii="仿宋_GB2312" w:hAnsi="仿宋_GB2312" w:eastAsia="仿宋_GB2312" w:cs="仿宋_GB2312"/>
          <w:color w:val="000000"/>
          <w:sz w:val="24"/>
          <w:highlight w:val="none"/>
          <w:shd w:val="clear" w:fill="FFFFFF"/>
        </w:rPr>
        <w:t>7.1.2.2投诉处理属于物业管理责任的，应向投诉者道歉并及时纠正。属于无效投诉的应做好解释工作。与投诉者无法协商解决的，应及时上报学校管理部门处理。</w:t>
      </w:r>
    </w:p>
    <w:p w14:paraId="6C6E74CC">
      <w:pPr>
        <w:pStyle w:val="4"/>
        <w:ind w:firstLine="480"/>
        <w:jc w:val="both"/>
        <w:rPr>
          <w:highlight w:val="none"/>
        </w:rPr>
      </w:pPr>
      <w:r>
        <w:rPr>
          <w:rFonts w:ascii="仿宋_GB2312" w:hAnsi="仿宋_GB2312" w:eastAsia="仿宋_GB2312" w:cs="仿宋_GB2312"/>
          <w:color w:val="000000"/>
          <w:sz w:val="24"/>
          <w:highlight w:val="none"/>
          <w:shd w:val="clear" w:fill="FFFFFF"/>
        </w:rPr>
        <w:t>7.1.2.3受理、处置的投诉应做好记录、收集好相关材料并做好存档工作。</w:t>
      </w:r>
    </w:p>
    <w:p w14:paraId="5CD49016">
      <w:pPr>
        <w:pStyle w:val="4"/>
        <w:ind w:firstLine="480"/>
        <w:jc w:val="both"/>
        <w:rPr>
          <w:highlight w:val="none"/>
        </w:rPr>
      </w:pPr>
      <w:r>
        <w:rPr>
          <w:rFonts w:ascii="仿宋_GB2312" w:hAnsi="仿宋_GB2312" w:eastAsia="仿宋_GB2312" w:cs="仿宋_GB2312"/>
          <w:color w:val="000000"/>
          <w:sz w:val="24"/>
          <w:highlight w:val="none"/>
          <w:shd w:val="clear" w:fill="FFFFFF"/>
        </w:rPr>
        <w:t>7.1.3节能管理</w:t>
      </w:r>
    </w:p>
    <w:p w14:paraId="3D424D6F">
      <w:pPr>
        <w:pStyle w:val="4"/>
        <w:ind w:firstLine="480"/>
        <w:jc w:val="both"/>
        <w:rPr>
          <w:highlight w:val="none"/>
        </w:rPr>
      </w:pPr>
      <w:r>
        <w:rPr>
          <w:rFonts w:ascii="仿宋_GB2312" w:hAnsi="仿宋_GB2312" w:eastAsia="仿宋_GB2312" w:cs="仿宋_GB2312"/>
          <w:color w:val="000000"/>
          <w:sz w:val="24"/>
          <w:highlight w:val="none"/>
          <w:shd w:val="clear" w:fill="FFFFFF"/>
        </w:rPr>
        <w:t>在委托管理的范围内制定校园节能管理方案，协助采购人做好节能减排的管理与服务工作，在采购人要求下在全校范围内制作张贴节能宣传标语，积极协助做好“节约型公共机构示范单位”“节水型高校”“低碳绿色公共示范单位”等创建工作，力求打造高校物业管理服务标杆示范项目。</w:t>
      </w:r>
    </w:p>
    <w:p w14:paraId="6E3CE102">
      <w:pPr>
        <w:pStyle w:val="4"/>
        <w:ind w:firstLine="480"/>
        <w:jc w:val="both"/>
        <w:rPr>
          <w:highlight w:val="none"/>
        </w:rPr>
      </w:pPr>
      <w:r>
        <w:rPr>
          <w:rFonts w:ascii="仿宋_GB2312" w:hAnsi="仿宋_GB2312" w:eastAsia="仿宋_GB2312" w:cs="仿宋_GB2312"/>
          <w:color w:val="000000"/>
          <w:sz w:val="24"/>
          <w:highlight w:val="none"/>
          <w:shd w:val="clear" w:fill="FFFFFF"/>
        </w:rPr>
        <w:t>7.1.4档案管理</w:t>
      </w:r>
    </w:p>
    <w:p w14:paraId="04656509">
      <w:pPr>
        <w:pStyle w:val="4"/>
        <w:ind w:firstLine="480"/>
        <w:jc w:val="both"/>
        <w:rPr>
          <w:highlight w:val="none"/>
        </w:rPr>
      </w:pPr>
      <w:r>
        <w:rPr>
          <w:rFonts w:ascii="仿宋_GB2312" w:hAnsi="仿宋_GB2312" w:eastAsia="仿宋_GB2312" w:cs="仿宋_GB2312"/>
          <w:color w:val="000000"/>
          <w:sz w:val="24"/>
          <w:highlight w:val="none"/>
          <w:shd w:val="clear" w:fill="FFFFFF"/>
        </w:rPr>
        <w:t>建立物业管理档案，要求档案完整、真实、及时。</w:t>
      </w:r>
    </w:p>
    <w:p w14:paraId="4354FEE7">
      <w:pPr>
        <w:pStyle w:val="4"/>
        <w:ind w:firstLine="480"/>
        <w:jc w:val="both"/>
        <w:rPr>
          <w:highlight w:val="none"/>
        </w:rPr>
      </w:pPr>
      <w:r>
        <w:rPr>
          <w:rFonts w:ascii="仿宋_GB2312" w:hAnsi="仿宋_GB2312" w:eastAsia="仿宋_GB2312" w:cs="仿宋_GB2312"/>
          <w:color w:val="000000"/>
          <w:sz w:val="24"/>
          <w:highlight w:val="none"/>
          <w:shd w:val="clear" w:fill="FFFFFF"/>
        </w:rPr>
        <w:t>7.1.5施工管理</w:t>
      </w:r>
    </w:p>
    <w:p w14:paraId="00C2DB33">
      <w:pPr>
        <w:pStyle w:val="4"/>
        <w:ind w:firstLine="480"/>
        <w:jc w:val="both"/>
        <w:rPr>
          <w:highlight w:val="none"/>
        </w:rPr>
      </w:pPr>
      <w:r>
        <w:rPr>
          <w:rFonts w:ascii="仿宋_GB2312" w:hAnsi="仿宋_GB2312" w:eastAsia="仿宋_GB2312" w:cs="仿宋_GB2312"/>
          <w:color w:val="000000"/>
          <w:sz w:val="24"/>
          <w:highlight w:val="none"/>
          <w:shd w:val="clear" w:fill="FFFFFF"/>
        </w:rPr>
        <w:t>7.1.5.1对房屋内装修、改造等零星工程项目进行严格的监督管理，确保不因装修而危及大楼结构安全、人身安全，影响正常办公秩序和校园环境卫生。</w:t>
      </w:r>
    </w:p>
    <w:p w14:paraId="12255FBE">
      <w:pPr>
        <w:pStyle w:val="4"/>
        <w:ind w:firstLine="480"/>
        <w:jc w:val="both"/>
        <w:rPr>
          <w:highlight w:val="none"/>
        </w:rPr>
      </w:pPr>
      <w:r>
        <w:rPr>
          <w:rFonts w:ascii="仿宋_GB2312" w:hAnsi="仿宋_GB2312" w:eastAsia="仿宋_GB2312" w:cs="仿宋_GB2312"/>
          <w:color w:val="000000"/>
          <w:sz w:val="24"/>
          <w:highlight w:val="none"/>
          <w:shd w:val="clear" w:fill="FFFFFF"/>
        </w:rPr>
        <w:t>7.1.5.2对施工单位和个人进场施工进行审批、办理施工许可、代收施工保证金，监督施工单位和个人不得擅自进行改造或装修施工，不得擅自接拉或改造电线、管线，不得擅自增加用电设备，不得擅自在外墙上、屋顶上安装任何设备、广告牌等。</w:t>
      </w:r>
    </w:p>
    <w:p w14:paraId="3F6BA578">
      <w:pPr>
        <w:pStyle w:val="4"/>
        <w:ind w:firstLine="480"/>
        <w:jc w:val="both"/>
        <w:rPr>
          <w:highlight w:val="none"/>
        </w:rPr>
      </w:pPr>
      <w:r>
        <w:rPr>
          <w:rFonts w:ascii="仿宋_GB2312" w:hAnsi="仿宋_GB2312" w:eastAsia="仿宋_GB2312" w:cs="仿宋_GB2312"/>
          <w:color w:val="000000"/>
          <w:sz w:val="24"/>
          <w:highlight w:val="none"/>
          <w:shd w:val="clear" w:fill="FFFFFF"/>
        </w:rPr>
        <w:t>7.1.5.3监督施工单位和个人将施工材料按指定的范围堆码整齐并设置围挡，不得在沥青路面、水泥路面、运动场地面、广场地砖、人行道 上搅拌水泥砂浆。工程完毕，施工单位需彻底清除现场并恢复周围环境，经后勤管理处、物业服务公司检查合格后，方能退还施工保证金。</w:t>
      </w:r>
    </w:p>
    <w:p w14:paraId="71703DFF">
      <w:pPr>
        <w:pStyle w:val="4"/>
        <w:ind w:firstLine="480"/>
        <w:jc w:val="both"/>
        <w:rPr>
          <w:highlight w:val="none"/>
        </w:rPr>
      </w:pPr>
      <w:r>
        <w:rPr>
          <w:rFonts w:ascii="仿宋_GB2312" w:hAnsi="仿宋_GB2312" w:eastAsia="仿宋_GB2312" w:cs="仿宋_GB2312"/>
          <w:color w:val="000000"/>
          <w:sz w:val="24"/>
          <w:highlight w:val="none"/>
          <w:shd w:val="clear" w:fill="FFFFFF"/>
        </w:rPr>
        <w:t>7.1.5.4监督施工单位和个人，施工产生的所有垃圾必须装袋清运，日产日清。如特殊情况，需临时堆放过夜，必须设置围挡，防止尘土飞扬。</w:t>
      </w:r>
    </w:p>
    <w:p w14:paraId="042F7B59">
      <w:pPr>
        <w:pStyle w:val="4"/>
        <w:ind w:firstLine="480"/>
        <w:jc w:val="both"/>
        <w:rPr>
          <w:highlight w:val="none"/>
        </w:rPr>
      </w:pPr>
      <w:r>
        <w:rPr>
          <w:rFonts w:ascii="仿宋_GB2312" w:hAnsi="仿宋_GB2312" w:eastAsia="仿宋_GB2312" w:cs="仿宋_GB2312"/>
          <w:color w:val="000000"/>
          <w:sz w:val="24"/>
          <w:highlight w:val="none"/>
          <w:shd w:val="clear" w:fill="FFFFFF"/>
        </w:rPr>
        <w:t>7.1.5.5监督校外广告公司等经营性营业机构及个人，未经审核批准在校园内布置拱门、汽球、搭建舞台等行为。对于违章搭建应进行劝阻、制止或报告。</w:t>
      </w:r>
    </w:p>
    <w:p w14:paraId="6FF16A5C">
      <w:pPr>
        <w:pStyle w:val="4"/>
        <w:ind w:firstLine="480"/>
        <w:jc w:val="both"/>
        <w:rPr>
          <w:highlight w:val="none"/>
        </w:rPr>
      </w:pPr>
      <w:r>
        <w:rPr>
          <w:rFonts w:ascii="仿宋_GB2312" w:hAnsi="仿宋_GB2312" w:eastAsia="仿宋_GB2312" w:cs="仿宋_GB2312"/>
          <w:color w:val="000000"/>
          <w:sz w:val="24"/>
          <w:highlight w:val="none"/>
          <w:shd w:val="clear" w:fill="FFFFFF"/>
        </w:rPr>
        <w:t>7.1.5.6及时有效的监督施工单位文明施工，如有发现不文明施工的，及时劝阻、制止，如制止无效，及时报告后勤部门处理。</w:t>
      </w:r>
    </w:p>
    <w:p w14:paraId="4BE33D01">
      <w:pPr>
        <w:pStyle w:val="4"/>
        <w:ind w:firstLine="482"/>
        <w:jc w:val="both"/>
        <w:rPr>
          <w:highlight w:val="none"/>
        </w:rPr>
      </w:pPr>
      <w:r>
        <w:rPr>
          <w:rFonts w:ascii="仿宋_GB2312" w:hAnsi="仿宋_GB2312" w:eastAsia="仿宋_GB2312" w:cs="仿宋_GB2312"/>
          <w:b/>
          <w:color w:val="000000"/>
          <w:sz w:val="24"/>
          <w:highlight w:val="none"/>
          <w:shd w:val="clear" w:fill="FFFFFF"/>
        </w:rPr>
        <w:t>8、设施设备日常巡查和保养服务要求</w:t>
      </w:r>
    </w:p>
    <w:p w14:paraId="63FF5D00">
      <w:pPr>
        <w:pStyle w:val="4"/>
        <w:ind w:firstLine="480"/>
        <w:jc w:val="both"/>
        <w:rPr>
          <w:highlight w:val="none"/>
        </w:rPr>
      </w:pPr>
      <w:r>
        <w:rPr>
          <w:rFonts w:ascii="仿宋_GB2312" w:hAnsi="仿宋_GB2312" w:eastAsia="仿宋_GB2312" w:cs="仿宋_GB2312"/>
          <w:color w:val="000000"/>
          <w:sz w:val="24"/>
          <w:highlight w:val="none"/>
          <w:shd w:val="clear" w:fill="FFFFFF"/>
        </w:rPr>
        <w:t>由中标人和采购人配合查验，确认把完整有效的设备设施移交给中标人管理。中标人必须认真做好设备设施日常维护，同时根据各种设备特点及维护保养规程，对设备设施进行定期维护保养，做好维护保养工作计划，并做好日常维护和定期维护保养及维修记录档案，按设备设施维护保养要求落实日常维护和定期维护保养工作。</w:t>
      </w:r>
    </w:p>
    <w:p w14:paraId="59569D3D">
      <w:pPr>
        <w:pStyle w:val="4"/>
        <w:ind w:firstLine="480"/>
        <w:jc w:val="both"/>
        <w:rPr>
          <w:highlight w:val="none"/>
        </w:rPr>
      </w:pPr>
      <w:r>
        <w:rPr>
          <w:rFonts w:ascii="仿宋_GB2312" w:hAnsi="仿宋_GB2312" w:eastAsia="仿宋_GB2312" w:cs="仿宋_GB2312"/>
          <w:color w:val="000000"/>
          <w:sz w:val="24"/>
          <w:highlight w:val="none"/>
          <w:shd w:val="clear" w:fill="FFFFFF"/>
        </w:rPr>
        <w:t>8.1房屋建筑主体及公共设施设备日常维护</w:t>
      </w:r>
    </w:p>
    <w:p w14:paraId="5C1BEE1A">
      <w:pPr>
        <w:pStyle w:val="4"/>
        <w:ind w:firstLine="480"/>
        <w:jc w:val="both"/>
        <w:rPr>
          <w:highlight w:val="none"/>
        </w:rPr>
      </w:pPr>
      <w:r>
        <w:rPr>
          <w:rFonts w:ascii="仿宋_GB2312" w:hAnsi="仿宋_GB2312" w:eastAsia="仿宋_GB2312" w:cs="仿宋_GB2312"/>
          <w:color w:val="000000"/>
          <w:sz w:val="24"/>
          <w:highlight w:val="none"/>
          <w:shd w:val="clear" w:fill="FFFFFF"/>
        </w:rPr>
        <w:t>8.1.1按规定建立房屋本体及配套设施等的物业管理资料档案，并妥善使用与保管。</w:t>
      </w:r>
    </w:p>
    <w:p w14:paraId="5F85B4F9">
      <w:pPr>
        <w:pStyle w:val="4"/>
        <w:ind w:firstLine="480"/>
        <w:jc w:val="both"/>
        <w:rPr>
          <w:highlight w:val="none"/>
        </w:rPr>
      </w:pPr>
      <w:r>
        <w:rPr>
          <w:rFonts w:ascii="仿宋_GB2312" w:hAnsi="仿宋_GB2312" w:eastAsia="仿宋_GB2312" w:cs="仿宋_GB2312"/>
          <w:color w:val="000000"/>
          <w:sz w:val="24"/>
          <w:highlight w:val="none"/>
          <w:shd w:val="clear" w:fill="FFFFFF"/>
        </w:rPr>
        <w:t>8.1.2建立房屋本体及配套设施维修养护检查制度、检查记录。</w:t>
      </w:r>
    </w:p>
    <w:p w14:paraId="11B626AF">
      <w:pPr>
        <w:pStyle w:val="4"/>
        <w:ind w:firstLine="480"/>
        <w:jc w:val="both"/>
        <w:rPr>
          <w:highlight w:val="none"/>
        </w:rPr>
      </w:pPr>
      <w:r>
        <w:rPr>
          <w:rFonts w:ascii="仿宋_GB2312" w:hAnsi="仿宋_GB2312" w:eastAsia="仿宋_GB2312" w:cs="仿宋_GB2312"/>
          <w:color w:val="000000"/>
          <w:sz w:val="24"/>
          <w:highlight w:val="none"/>
          <w:shd w:val="clear" w:fill="FFFFFF"/>
        </w:rPr>
        <w:t>8.1.3楼内外无违章乱张贴、乱搭建、乱拉管线等现象。</w:t>
      </w:r>
    </w:p>
    <w:p w14:paraId="1BD8F5B7">
      <w:pPr>
        <w:pStyle w:val="4"/>
        <w:ind w:firstLine="480"/>
        <w:jc w:val="both"/>
        <w:rPr>
          <w:highlight w:val="none"/>
        </w:rPr>
      </w:pPr>
      <w:r>
        <w:rPr>
          <w:rFonts w:ascii="仿宋_GB2312" w:hAnsi="仿宋_GB2312" w:eastAsia="仿宋_GB2312" w:cs="仿宋_GB2312"/>
          <w:color w:val="000000"/>
          <w:sz w:val="24"/>
          <w:highlight w:val="none"/>
          <w:shd w:val="clear" w:fill="FFFFFF"/>
        </w:rPr>
        <w:t>8.1.4无擅自改变房屋用途行为。</w:t>
      </w:r>
    </w:p>
    <w:p w14:paraId="50C9F2D9">
      <w:pPr>
        <w:pStyle w:val="4"/>
        <w:ind w:firstLine="480"/>
        <w:jc w:val="both"/>
        <w:rPr>
          <w:highlight w:val="none"/>
        </w:rPr>
      </w:pPr>
      <w:r>
        <w:rPr>
          <w:rFonts w:ascii="仿宋_GB2312" w:hAnsi="仿宋_GB2312" w:eastAsia="仿宋_GB2312" w:cs="仿宋_GB2312"/>
          <w:color w:val="000000"/>
          <w:sz w:val="24"/>
          <w:highlight w:val="none"/>
          <w:shd w:val="clear" w:fill="FFFFFF"/>
        </w:rPr>
        <w:t>8.1.5定期对大楼的供电供水及排水、电梯、消防、中央空调、公共照明（含路灯、庭院灯）等公用设施设备和房屋建筑主体结构进行维护、检查。</w:t>
      </w:r>
    </w:p>
    <w:p w14:paraId="28C8526B">
      <w:pPr>
        <w:pStyle w:val="4"/>
        <w:ind w:firstLine="480"/>
        <w:jc w:val="both"/>
        <w:rPr>
          <w:highlight w:val="none"/>
        </w:rPr>
      </w:pPr>
      <w:r>
        <w:rPr>
          <w:rFonts w:ascii="仿宋_GB2312" w:hAnsi="仿宋_GB2312" w:eastAsia="仿宋_GB2312" w:cs="仿宋_GB2312"/>
          <w:color w:val="000000"/>
          <w:sz w:val="24"/>
          <w:highlight w:val="none"/>
          <w:shd w:val="clear" w:fill="FFFFFF"/>
        </w:rPr>
        <w:t>8.1.6定期对给排水系统进行维护、检查。</w:t>
      </w:r>
    </w:p>
    <w:p w14:paraId="753FA57A">
      <w:pPr>
        <w:pStyle w:val="4"/>
        <w:ind w:firstLine="480"/>
        <w:jc w:val="both"/>
        <w:rPr>
          <w:highlight w:val="none"/>
        </w:rPr>
      </w:pPr>
      <w:r>
        <w:rPr>
          <w:rFonts w:ascii="仿宋_GB2312" w:hAnsi="仿宋_GB2312" w:eastAsia="仿宋_GB2312" w:cs="仿宋_GB2312"/>
          <w:color w:val="000000"/>
          <w:sz w:val="24"/>
          <w:highlight w:val="none"/>
          <w:shd w:val="clear" w:fill="FFFFFF"/>
        </w:rPr>
        <w:t>8.1.7强电系统各级配电柜、箱、照明、插座装置检查。</w:t>
      </w:r>
    </w:p>
    <w:p w14:paraId="2264625C">
      <w:pPr>
        <w:pStyle w:val="4"/>
        <w:ind w:firstLine="480"/>
        <w:jc w:val="both"/>
        <w:rPr>
          <w:highlight w:val="none"/>
        </w:rPr>
      </w:pPr>
      <w:r>
        <w:rPr>
          <w:rFonts w:ascii="仿宋_GB2312" w:hAnsi="仿宋_GB2312" w:eastAsia="仿宋_GB2312" w:cs="仿宋_GB2312"/>
          <w:color w:val="000000"/>
          <w:sz w:val="24"/>
          <w:highlight w:val="none"/>
          <w:shd w:val="clear" w:fill="FFFFFF"/>
        </w:rPr>
        <w:t>8.1.8保证公共照明、水电设施等公共设施正常运行。公共设施、水电每天检查一遍，发现故障或损坏应在 30 分钟内到场，12 小时内维修完毕。</w:t>
      </w:r>
    </w:p>
    <w:p w14:paraId="27553B2A">
      <w:pPr>
        <w:pStyle w:val="4"/>
        <w:ind w:firstLine="480"/>
        <w:jc w:val="both"/>
        <w:rPr>
          <w:highlight w:val="none"/>
        </w:rPr>
      </w:pPr>
      <w:r>
        <w:rPr>
          <w:rFonts w:ascii="仿宋_GB2312" w:hAnsi="仿宋_GB2312" w:eastAsia="仿宋_GB2312" w:cs="仿宋_GB2312"/>
          <w:color w:val="000000"/>
          <w:sz w:val="24"/>
          <w:highlight w:val="none"/>
          <w:shd w:val="clear" w:fill="FFFFFF"/>
        </w:rPr>
        <w:t>8.1.9办公大楼外观完好、整洁，地面、墙台面、吊顶、楼梯、通风道等，是建材贴面的，无脱落；是玻璃幕墙的，清洁明亮、无破损；外墙是涂料的，无脱落污渍；室外招牌整洁统一且无安全隐患，墙面装饰无破损。</w:t>
      </w:r>
    </w:p>
    <w:p w14:paraId="0EDE18F8">
      <w:pPr>
        <w:pStyle w:val="4"/>
        <w:ind w:firstLine="480"/>
        <w:jc w:val="both"/>
        <w:rPr>
          <w:highlight w:val="none"/>
        </w:rPr>
      </w:pPr>
      <w:r>
        <w:rPr>
          <w:rFonts w:ascii="仿宋_GB2312" w:hAnsi="仿宋_GB2312" w:eastAsia="仿宋_GB2312" w:cs="仿宋_GB2312"/>
          <w:color w:val="000000"/>
          <w:sz w:val="24"/>
          <w:highlight w:val="none"/>
          <w:shd w:val="clear" w:fill="FFFFFF"/>
        </w:rPr>
        <w:t>8.1.10确保房屋、门窗等公用设施的完好和正常使用。</w:t>
      </w:r>
    </w:p>
    <w:p w14:paraId="10829B15">
      <w:pPr>
        <w:pStyle w:val="4"/>
        <w:ind w:firstLine="480"/>
        <w:jc w:val="both"/>
        <w:rPr>
          <w:highlight w:val="none"/>
        </w:rPr>
      </w:pPr>
      <w:r>
        <w:rPr>
          <w:rFonts w:ascii="仿宋_GB2312" w:hAnsi="仿宋_GB2312" w:eastAsia="仿宋_GB2312" w:cs="仿宋_GB2312"/>
          <w:color w:val="000000"/>
          <w:sz w:val="24"/>
          <w:highlight w:val="none"/>
          <w:shd w:val="clear" w:fill="FFFFFF"/>
        </w:rPr>
        <w:t>8.1.11确保室外场地、道路等公用设施的完好和正常使用。</w:t>
      </w:r>
    </w:p>
    <w:p w14:paraId="7C0F8A0B">
      <w:pPr>
        <w:pStyle w:val="4"/>
        <w:ind w:firstLine="480"/>
        <w:jc w:val="both"/>
        <w:rPr>
          <w:highlight w:val="none"/>
        </w:rPr>
      </w:pPr>
      <w:r>
        <w:rPr>
          <w:rFonts w:ascii="仿宋_GB2312" w:hAnsi="仿宋_GB2312" w:eastAsia="仿宋_GB2312" w:cs="仿宋_GB2312"/>
          <w:color w:val="000000"/>
          <w:sz w:val="24"/>
          <w:highlight w:val="none"/>
          <w:shd w:val="clear" w:fill="FFFFFF"/>
        </w:rPr>
        <w:t>8.1.12完成各项零星维修任务，一般维修任务确保不超过 24 小时，确保零修合格率 100%，紧急维修须 15 分钟内到达现场。</w:t>
      </w:r>
    </w:p>
    <w:p w14:paraId="6513E5C8">
      <w:pPr>
        <w:pStyle w:val="4"/>
        <w:ind w:firstLine="480"/>
        <w:jc w:val="both"/>
        <w:rPr>
          <w:highlight w:val="none"/>
        </w:rPr>
      </w:pPr>
      <w:r>
        <w:rPr>
          <w:rFonts w:ascii="仿宋_GB2312" w:hAnsi="仿宋_GB2312" w:eastAsia="仿宋_GB2312" w:cs="仿宋_GB2312"/>
          <w:color w:val="000000"/>
          <w:sz w:val="24"/>
          <w:highlight w:val="none"/>
          <w:shd w:val="clear" w:fill="FFFFFF"/>
        </w:rPr>
        <w:t>8.1.13熟练掌握水泵房（包括污水泵房）等其他设备房设备的相关知识，熟练掌握各类设备的内部结构及工作原理，严格遵守操作规程，能快速准确地操作设备。</w:t>
      </w:r>
    </w:p>
    <w:p w14:paraId="14271D50">
      <w:pPr>
        <w:pStyle w:val="4"/>
        <w:ind w:firstLine="480"/>
        <w:jc w:val="both"/>
        <w:rPr>
          <w:highlight w:val="none"/>
        </w:rPr>
      </w:pPr>
      <w:r>
        <w:rPr>
          <w:rFonts w:ascii="仿宋_GB2312" w:hAnsi="仿宋_GB2312" w:eastAsia="仿宋_GB2312" w:cs="仿宋_GB2312"/>
          <w:color w:val="000000"/>
          <w:sz w:val="24"/>
          <w:highlight w:val="none"/>
          <w:shd w:val="clear" w:fill="FFFFFF"/>
        </w:rPr>
        <w:t>8.1.14值班人员或巡视人员应按要求做好设备运行监测工作，如发现问题，应上报，同时采取有效的、安全的措施迅速排除故障，确保设备安全运行。</w:t>
      </w:r>
    </w:p>
    <w:p w14:paraId="1949E3A8">
      <w:pPr>
        <w:pStyle w:val="4"/>
        <w:ind w:firstLine="480"/>
        <w:jc w:val="both"/>
        <w:rPr>
          <w:highlight w:val="none"/>
        </w:rPr>
      </w:pPr>
      <w:r>
        <w:rPr>
          <w:rFonts w:ascii="仿宋_GB2312" w:hAnsi="仿宋_GB2312" w:eastAsia="仿宋_GB2312" w:cs="仿宋_GB2312"/>
          <w:color w:val="000000"/>
          <w:sz w:val="24"/>
          <w:highlight w:val="none"/>
          <w:shd w:val="clear" w:fill="FFFFFF"/>
        </w:rPr>
        <w:t>8.2配电房管理</w:t>
      </w:r>
    </w:p>
    <w:p w14:paraId="36814BB8">
      <w:pPr>
        <w:pStyle w:val="4"/>
        <w:ind w:firstLine="480"/>
        <w:jc w:val="both"/>
        <w:rPr>
          <w:highlight w:val="none"/>
        </w:rPr>
      </w:pPr>
      <w:r>
        <w:rPr>
          <w:rFonts w:ascii="仿宋_GB2312" w:hAnsi="仿宋_GB2312" w:eastAsia="仿宋_GB2312" w:cs="仿宋_GB2312"/>
          <w:color w:val="000000"/>
          <w:sz w:val="24"/>
          <w:highlight w:val="none"/>
          <w:shd w:val="clear" w:fill="FFFFFF"/>
        </w:rPr>
        <w:t>8.2.1熟练掌握供电设备相关知识，熟练掌握各类设备的内部结构及工作原理，严格遵守操作规程，能快速准确地操作设备。</w:t>
      </w:r>
    </w:p>
    <w:p w14:paraId="5FDA1D2E">
      <w:pPr>
        <w:pStyle w:val="4"/>
        <w:ind w:firstLine="480"/>
        <w:jc w:val="both"/>
        <w:rPr>
          <w:highlight w:val="none"/>
        </w:rPr>
      </w:pPr>
      <w:r>
        <w:rPr>
          <w:rFonts w:ascii="仿宋_GB2312" w:hAnsi="仿宋_GB2312" w:eastAsia="仿宋_GB2312" w:cs="仿宋_GB2312"/>
          <w:color w:val="000000"/>
          <w:sz w:val="24"/>
          <w:highlight w:val="none"/>
          <w:shd w:val="clear" w:fill="FFFFFF"/>
        </w:rPr>
        <w:t>8.2.2高配值班人员应经常定期巡视高、低压柜，变压器等的运行情况并做好巡查记录，如发现问题，应上报，同时采取有效的、安全的措施迅速排除故障，确保供电。</w:t>
      </w:r>
    </w:p>
    <w:p w14:paraId="6E22C597">
      <w:pPr>
        <w:pStyle w:val="4"/>
        <w:ind w:firstLine="480"/>
        <w:jc w:val="both"/>
        <w:rPr>
          <w:highlight w:val="none"/>
        </w:rPr>
      </w:pPr>
      <w:r>
        <w:rPr>
          <w:rFonts w:ascii="仿宋_GB2312" w:hAnsi="仿宋_GB2312" w:eastAsia="仿宋_GB2312" w:cs="仿宋_GB2312"/>
          <w:color w:val="000000"/>
          <w:sz w:val="24"/>
          <w:highlight w:val="none"/>
          <w:shd w:val="clear" w:fill="FFFFFF"/>
        </w:rPr>
        <w:t>8.3给排水设备运行维护</w:t>
      </w:r>
    </w:p>
    <w:p w14:paraId="656DC386">
      <w:pPr>
        <w:pStyle w:val="4"/>
        <w:ind w:firstLine="480"/>
        <w:jc w:val="both"/>
        <w:rPr>
          <w:highlight w:val="none"/>
        </w:rPr>
      </w:pPr>
      <w:r>
        <w:rPr>
          <w:rFonts w:ascii="仿宋_GB2312" w:hAnsi="仿宋_GB2312" w:eastAsia="仿宋_GB2312" w:cs="仿宋_GB2312"/>
          <w:color w:val="000000"/>
          <w:sz w:val="24"/>
          <w:highlight w:val="none"/>
          <w:shd w:val="clear" w:fill="FFFFFF"/>
        </w:rPr>
        <w:t>给排水设备运行维护是指为保证区域内给排水设备、设施的正常运行使用所进行的日常养护维修。具体为：</w:t>
      </w:r>
    </w:p>
    <w:p w14:paraId="57659034">
      <w:pPr>
        <w:pStyle w:val="4"/>
        <w:ind w:firstLine="480"/>
        <w:jc w:val="both"/>
        <w:rPr>
          <w:highlight w:val="none"/>
        </w:rPr>
      </w:pPr>
      <w:r>
        <w:rPr>
          <w:rFonts w:ascii="仿宋_GB2312" w:hAnsi="仿宋_GB2312" w:eastAsia="仿宋_GB2312" w:cs="仿宋_GB2312"/>
          <w:color w:val="000000"/>
          <w:sz w:val="24"/>
          <w:highlight w:val="none"/>
          <w:shd w:val="clear" w:fill="FFFFFF"/>
        </w:rPr>
        <w:t>8.3.1实行日常检查巡视制度，定期维护保养，保证给排水系统正常使用。</w:t>
      </w:r>
    </w:p>
    <w:p w14:paraId="18EAA90C">
      <w:pPr>
        <w:pStyle w:val="4"/>
        <w:ind w:firstLine="480"/>
        <w:jc w:val="both"/>
        <w:rPr>
          <w:highlight w:val="none"/>
        </w:rPr>
      </w:pPr>
      <w:r>
        <w:rPr>
          <w:rFonts w:ascii="仿宋_GB2312" w:hAnsi="仿宋_GB2312" w:eastAsia="仿宋_GB2312" w:cs="仿宋_GB2312"/>
          <w:color w:val="000000"/>
          <w:sz w:val="24"/>
          <w:highlight w:val="none"/>
          <w:shd w:val="clear" w:fill="FFFFFF"/>
        </w:rPr>
        <w:t>8.3.2建立正常供水管理制度，保证水质符合国家标准；每年安排对二次供水蓄水池设施设备进行清洁、消毒。</w:t>
      </w:r>
    </w:p>
    <w:p w14:paraId="1D872709">
      <w:pPr>
        <w:pStyle w:val="4"/>
        <w:ind w:firstLine="480"/>
        <w:jc w:val="both"/>
        <w:rPr>
          <w:highlight w:val="none"/>
        </w:rPr>
      </w:pPr>
      <w:r>
        <w:rPr>
          <w:rFonts w:ascii="仿宋_GB2312" w:hAnsi="仿宋_GB2312" w:eastAsia="仿宋_GB2312" w:cs="仿宋_GB2312"/>
          <w:color w:val="000000"/>
          <w:sz w:val="24"/>
          <w:highlight w:val="none"/>
          <w:shd w:val="clear" w:fill="FFFFFF"/>
        </w:rPr>
        <w:t>8.3.3加强巡查，防止跑、冒、滴、漏、溢，保证设备设施完好。</w:t>
      </w:r>
    </w:p>
    <w:p w14:paraId="14AE6436">
      <w:pPr>
        <w:pStyle w:val="4"/>
        <w:ind w:firstLine="480"/>
        <w:jc w:val="both"/>
        <w:rPr>
          <w:highlight w:val="none"/>
        </w:rPr>
      </w:pPr>
      <w:r>
        <w:rPr>
          <w:rFonts w:ascii="仿宋_GB2312" w:hAnsi="仿宋_GB2312" w:eastAsia="仿宋_GB2312" w:cs="仿宋_GB2312"/>
          <w:color w:val="000000"/>
          <w:sz w:val="24"/>
          <w:highlight w:val="none"/>
          <w:shd w:val="clear" w:fill="FFFFFF"/>
        </w:rPr>
        <w:t>8.3.4监控水泵房及地下水池、消防系统全部机电设备，定期保养，定期作记录。</w:t>
      </w:r>
    </w:p>
    <w:p w14:paraId="57AD6A68">
      <w:pPr>
        <w:pStyle w:val="4"/>
        <w:ind w:firstLine="480"/>
        <w:jc w:val="both"/>
        <w:rPr>
          <w:highlight w:val="none"/>
        </w:rPr>
      </w:pPr>
      <w:r>
        <w:rPr>
          <w:rFonts w:ascii="仿宋_GB2312" w:hAnsi="仿宋_GB2312" w:eastAsia="仿宋_GB2312" w:cs="仿宋_GB2312"/>
          <w:color w:val="000000"/>
          <w:sz w:val="24"/>
          <w:highlight w:val="none"/>
          <w:shd w:val="clear" w:fill="FFFFFF"/>
        </w:rPr>
        <w:t>8.3.5消防泵按规定定期检查保养，定期进行“自动、手动”操作检查，定期进行全面检查。</w:t>
      </w:r>
    </w:p>
    <w:p w14:paraId="346FB66E">
      <w:pPr>
        <w:pStyle w:val="4"/>
        <w:ind w:firstLine="480"/>
        <w:jc w:val="both"/>
        <w:rPr>
          <w:highlight w:val="none"/>
        </w:rPr>
      </w:pPr>
      <w:r>
        <w:rPr>
          <w:rFonts w:ascii="仿宋_GB2312" w:hAnsi="仿宋_GB2312" w:eastAsia="仿宋_GB2312" w:cs="仿宋_GB2312"/>
          <w:color w:val="000000"/>
          <w:sz w:val="24"/>
          <w:highlight w:val="none"/>
          <w:shd w:val="clear" w:fill="FFFFFF"/>
        </w:rPr>
        <w:t>8.3.6建立对楼内开水间、卫生间的日常检查巡视制度，给排水系统通畅，车库、设备房无积水和浸泡发生；保证室内外给排水系统通畅。</w:t>
      </w:r>
    </w:p>
    <w:p w14:paraId="3588D30E">
      <w:pPr>
        <w:pStyle w:val="4"/>
        <w:ind w:firstLine="480"/>
        <w:jc w:val="both"/>
        <w:rPr>
          <w:highlight w:val="none"/>
        </w:rPr>
      </w:pPr>
      <w:r>
        <w:rPr>
          <w:rFonts w:ascii="仿宋_GB2312" w:hAnsi="仿宋_GB2312" w:eastAsia="仿宋_GB2312" w:cs="仿宋_GB2312"/>
          <w:color w:val="000000"/>
          <w:sz w:val="24"/>
          <w:highlight w:val="none"/>
          <w:shd w:val="clear" w:fill="FFFFFF"/>
        </w:rPr>
        <w:t>8.3.7在汛期应派专人加强对防洪排涝系统巡查并监控相关水位，熟练使用防洪排涝设备，做好校内的排涝工作。</w:t>
      </w:r>
    </w:p>
    <w:p w14:paraId="70F9321A">
      <w:pPr>
        <w:pStyle w:val="4"/>
        <w:ind w:firstLine="480"/>
        <w:jc w:val="both"/>
        <w:rPr>
          <w:highlight w:val="none"/>
        </w:rPr>
      </w:pPr>
      <w:r>
        <w:rPr>
          <w:rFonts w:ascii="仿宋_GB2312" w:hAnsi="仿宋_GB2312" w:eastAsia="仿宋_GB2312" w:cs="仿宋_GB2312"/>
          <w:color w:val="000000"/>
          <w:sz w:val="24"/>
          <w:highlight w:val="none"/>
          <w:shd w:val="clear" w:fill="FFFFFF"/>
        </w:rPr>
        <w:t>8.3.8设备出现故障时，维修人员应在接到报修后10分钟内到达现场，零修合格率100%，一般性故障排除不过夜。</w:t>
      </w:r>
    </w:p>
    <w:p w14:paraId="2D3EE0ED">
      <w:pPr>
        <w:pStyle w:val="4"/>
        <w:ind w:firstLine="480"/>
        <w:jc w:val="both"/>
        <w:rPr>
          <w:highlight w:val="none"/>
        </w:rPr>
      </w:pPr>
      <w:r>
        <w:rPr>
          <w:rFonts w:ascii="仿宋_GB2312" w:hAnsi="仿宋_GB2312" w:eastAsia="仿宋_GB2312" w:cs="仿宋_GB2312"/>
          <w:color w:val="000000"/>
          <w:sz w:val="24"/>
          <w:highlight w:val="none"/>
          <w:shd w:val="clear" w:fill="FFFFFF"/>
        </w:rPr>
        <w:t>8.3.9如遇室外管网抢修等工作，应配合抢修单位开关闸门，并在抢修结束恢复供水操作。</w:t>
      </w:r>
    </w:p>
    <w:p w14:paraId="293B3376">
      <w:pPr>
        <w:pStyle w:val="4"/>
        <w:ind w:firstLine="480"/>
        <w:jc w:val="both"/>
        <w:rPr>
          <w:highlight w:val="none"/>
        </w:rPr>
      </w:pPr>
      <w:r>
        <w:rPr>
          <w:rFonts w:ascii="仿宋_GB2312" w:hAnsi="仿宋_GB2312" w:eastAsia="仿宋_GB2312" w:cs="仿宋_GB2312"/>
          <w:color w:val="000000"/>
          <w:sz w:val="24"/>
          <w:highlight w:val="none"/>
          <w:shd w:val="clear" w:fill="FFFFFF"/>
        </w:rPr>
        <w:t>8.3.10定期对污水泵房及污水处理系统进行巡查和全面维护保养，系统无明显异味和噪声。</w:t>
      </w:r>
    </w:p>
    <w:p w14:paraId="0D0CB9A5">
      <w:pPr>
        <w:pStyle w:val="4"/>
        <w:ind w:firstLine="480"/>
        <w:jc w:val="both"/>
        <w:rPr>
          <w:highlight w:val="none"/>
        </w:rPr>
      </w:pPr>
      <w:r>
        <w:rPr>
          <w:rFonts w:ascii="仿宋_GB2312" w:hAnsi="仿宋_GB2312" w:eastAsia="仿宋_GB2312" w:cs="仿宋_GB2312"/>
          <w:color w:val="000000"/>
          <w:sz w:val="24"/>
          <w:highlight w:val="none"/>
          <w:shd w:val="clear" w:fill="FFFFFF"/>
        </w:rPr>
        <w:t>8.3.11每季对楼宇给排水总管进行检查。</w:t>
      </w:r>
    </w:p>
    <w:p w14:paraId="05274FEE">
      <w:pPr>
        <w:pStyle w:val="4"/>
        <w:ind w:firstLine="480"/>
        <w:jc w:val="both"/>
        <w:rPr>
          <w:highlight w:val="none"/>
        </w:rPr>
      </w:pPr>
      <w:r>
        <w:rPr>
          <w:rFonts w:ascii="仿宋_GB2312" w:hAnsi="仿宋_GB2312" w:eastAsia="仿宋_GB2312" w:cs="仿宋_GB2312"/>
          <w:color w:val="000000"/>
          <w:sz w:val="24"/>
          <w:highlight w:val="none"/>
          <w:shd w:val="clear" w:fill="FFFFFF"/>
        </w:rPr>
        <w:t>8.3.12如遇供水单位限水、停水应按规定时间通知校方。</w:t>
      </w:r>
    </w:p>
    <w:p w14:paraId="7B56DCF9">
      <w:pPr>
        <w:pStyle w:val="4"/>
        <w:ind w:firstLine="480"/>
        <w:jc w:val="both"/>
        <w:rPr>
          <w:highlight w:val="none"/>
        </w:rPr>
      </w:pPr>
      <w:r>
        <w:rPr>
          <w:rFonts w:ascii="仿宋_GB2312" w:hAnsi="仿宋_GB2312" w:eastAsia="仿宋_GB2312" w:cs="仿宋_GB2312"/>
          <w:color w:val="000000"/>
          <w:sz w:val="24"/>
          <w:highlight w:val="none"/>
          <w:shd w:val="clear" w:fill="FFFFFF"/>
        </w:rPr>
        <w:t>8.3.13制定险情应急处理措施。做好节约用水的工作和宣传。</w:t>
      </w:r>
    </w:p>
    <w:p w14:paraId="6D80BB0E">
      <w:pPr>
        <w:pStyle w:val="4"/>
        <w:ind w:firstLine="480"/>
        <w:jc w:val="both"/>
        <w:rPr>
          <w:highlight w:val="none"/>
        </w:rPr>
      </w:pPr>
      <w:r>
        <w:rPr>
          <w:rFonts w:ascii="仿宋_GB2312" w:hAnsi="仿宋_GB2312" w:eastAsia="仿宋_GB2312" w:cs="仿宋_GB2312"/>
          <w:color w:val="000000"/>
          <w:sz w:val="24"/>
          <w:highlight w:val="none"/>
          <w:shd w:val="clear" w:fill="FFFFFF"/>
        </w:rPr>
        <w:t>8.4供电设备管理维护</w:t>
      </w:r>
    </w:p>
    <w:p w14:paraId="0DDE2BFD">
      <w:pPr>
        <w:pStyle w:val="4"/>
        <w:ind w:firstLine="480"/>
        <w:jc w:val="both"/>
        <w:rPr>
          <w:highlight w:val="none"/>
        </w:rPr>
      </w:pPr>
      <w:r>
        <w:rPr>
          <w:rFonts w:ascii="仿宋_GB2312" w:hAnsi="仿宋_GB2312" w:eastAsia="仿宋_GB2312" w:cs="仿宋_GB2312"/>
          <w:color w:val="000000"/>
          <w:sz w:val="24"/>
          <w:highlight w:val="none"/>
          <w:shd w:val="clear" w:fill="FFFFFF"/>
        </w:rPr>
        <w:t>中标人应负责对全校供电设备进行日常使用、管理与维修维护，保证全校供电系统正常运行。包含：全校高（低）压配电室设施设备、全校各大型用电设备机房供电系统、全校应急发电机、全校避雷系统及全校照明、供热与动力的用（供）电系统。</w:t>
      </w:r>
    </w:p>
    <w:p w14:paraId="303D2D56">
      <w:pPr>
        <w:pStyle w:val="4"/>
        <w:ind w:firstLine="480"/>
        <w:jc w:val="both"/>
        <w:rPr>
          <w:highlight w:val="none"/>
        </w:rPr>
      </w:pPr>
      <w:r>
        <w:rPr>
          <w:rFonts w:ascii="仿宋_GB2312" w:hAnsi="仿宋_GB2312" w:eastAsia="仿宋_GB2312" w:cs="仿宋_GB2312"/>
          <w:color w:val="000000"/>
          <w:sz w:val="24"/>
          <w:highlight w:val="none"/>
          <w:shd w:val="clear" w:fill="FFFFFF"/>
        </w:rPr>
        <w:t>8.4.1建立设备管理、值班（24小时）、操作制度。</w:t>
      </w:r>
    </w:p>
    <w:p w14:paraId="567B3C7E">
      <w:pPr>
        <w:pStyle w:val="4"/>
        <w:ind w:firstLine="480"/>
        <w:jc w:val="both"/>
        <w:rPr>
          <w:highlight w:val="none"/>
        </w:rPr>
      </w:pPr>
      <w:r>
        <w:rPr>
          <w:rFonts w:ascii="仿宋_GB2312" w:hAnsi="仿宋_GB2312" w:eastAsia="仿宋_GB2312" w:cs="仿宋_GB2312"/>
          <w:color w:val="000000"/>
          <w:sz w:val="24"/>
          <w:highlight w:val="none"/>
          <w:shd w:val="clear" w:fill="FFFFFF"/>
        </w:rPr>
        <w:t>8.4.2建立运行记录，发现问题应及时维护、及时上报。</w:t>
      </w:r>
    </w:p>
    <w:p w14:paraId="16A9F8D9">
      <w:pPr>
        <w:pStyle w:val="4"/>
        <w:ind w:firstLine="480"/>
        <w:jc w:val="both"/>
        <w:rPr>
          <w:highlight w:val="none"/>
        </w:rPr>
      </w:pPr>
      <w:r>
        <w:rPr>
          <w:rFonts w:ascii="仿宋_GB2312" w:hAnsi="仿宋_GB2312" w:eastAsia="仿宋_GB2312" w:cs="仿宋_GB2312"/>
          <w:color w:val="000000"/>
          <w:sz w:val="24"/>
          <w:highlight w:val="none"/>
          <w:shd w:val="clear" w:fill="FFFFFF"/>
        </w:rPr>
        <w:t>8.4.3供电回路操作开关标志明显，停电拉闸要挂标志牌，检修停电更应挂牌。</w:t>
      </w:r>
    </w:p>
    <w:p w14:paraId="43A9244E">
      <w:pPr>
        <w:pStyle w:val="4"/>
        <w:ind w:firstLine="480"/>
        <w:jc w:val="both"/>
        <w:rPr>
          <w:highlight w:val="none"/>
        </w:rPr>
      </w:pPr>
      <w:r>
        <w:rPr>
          <w:rFonts w:ascii="仿宋_GB2312" w:hAnsi="仿宋_GB2312" w:eastAsia="仿宋_GB2312" w:cs="仿宋_GB2312"/>
          <w:color w:val="000000"/>
          <w:sz w:val="24"/>
          <w:highlight w:val="none"/>
          <w:shd w:val="clear" w:fill="FFFFFF"/>
        </w:rPr>
        <w:t>8.4.4负责监管校内供电线路，禁止乱拉接线路，供电线路严禁超载供电。</w:t>
      </w:r>
    </w:p>
    <w:p w14:paraId="0AA0D006">
      <w:pPr>
        <w:pStyle w:val="4"/>
        <w:ind w:firstLine="480"/>
        <w:jc w:val="both"/>
        <w:rPr>
          <w:highlight w:val="none"/>
        </w:rPr>
      </w:pPr>
      <w:r>
        <w:rPr>
          <w:rFonts w:ascii="仿宋_GB2312" w:hAnsi="仿宋_GB2312" w:eastAsia="仿宋_GB2312" w:cs="仿宋_GB2312"/>
          <w:color w:val="000000"/>
          <w:sz w:val="24"/>
          <w:highlight w:val="none"/>
          <w:shd w:val="clear" w:fill="FFFFFF"/>
        </w:rPr>
        <w:t>8.4.5配合校方日常巡查，做到合理、节约用电。</w:t>
      </w:r>
    </w:p>
    <w:p w14:paraId="0ED2A43C">
      <w:pPr>
        <w:pStyle w:val="4"/>
        <w:ind w:firstLine="480"/>
        <w:jc w:val="both"/>
        <w:rPr>
          <w:highlight w:val="none"/>
        </w:rPr>
      </w:pPr>
      <w:r>
        <w:rPr>
          <w:rFonts w:ascii="仿宋_GB2312" w:hAnsi="仿宋_GB2312" w:eastAsia="仿宋_GB2312" w:cs="仿宋_GB2312"/>
          <w:color w:val="000000"/>
          <w:sz w:val="24"/>
          <w:highlight w:val="none"/>
          <w:shd w:val="clear" w:fill="FFFFFF"/>
        </w:rPr>
        <w:t>8.4.6制定完整的设备维护制度、计划和值班制度，有完整的应急处理实施方案。</w:t>
      </w:r>
    </w:p>
    <w:p w14:paraId="44117E34">
      <w:pPr>
        <w:pStyle w:val="4"/>
        <w:ind w:firstLine="480"/>
        <w:jc w:val="both"/>
        <w:rPr>
          <w:highlight w:val="none"/>
        </w:rPr>
      </w:pPr>
      <w:r>
        <w:rPr>
          <w:rFonts w:ascii="仿宋_GB2312" w:hAnsi="仿宋_GB2312" w:eastAsia="仿宋_GB2312" w:cs="仿宋_GB2312"/>
          <w:color w:val="000000"/>
          <w:sz w:val="24"/>
          <w:highlight w:val="none"/>
          <w:shd w:val="clear" w:fill="FFFFFF"/>
        </w:rPr>
        <w:t>8.4.7中标人至少配置2名持有由应急管理部或原安全生产监督管理总局监制的《中华人民共和国特种作业操作证》（作业类别为“电工作业”，操作项目为“高压电工作业”）的人员负责供电运行管理。</w:t>
      </w:r>
    </w:p>
    <w:p w14:paraId="10DB0E71">
      <w:pPr>
        <w:pStyle w:val="4"/>
        <w:ind w:firstLine="480"/>
        <w:jc w:val="both"/>
        <w:rPr>
          <w:highlight w:val="none"/>
        </w:rPr>
      </w:pPr>
      <w:r>
        <w:rPr>
          <w:rFonts w:ascii="仿宋_GB2312" w:hAnsi="仿宋_GB2312" w:eastAsia="仿宋_GB2312" w:cs="仿宋_GB2312"/>
          <w:color w:val="000000"/>
          <w:sz w:val="24"/>
          <w:highlight w:val="none"/>
          <w:shd w:val="clear" w:fill="FFFFFF"/>
        </w:rPr>
        <w:t>8.4.8加强日常维护检修，照明、指示灯具线路、开关要保证完好。</w:t>
      </w:r>
    </w:p>
    <w:p w14:paraId="52E20B38">
      <w:pPr>
        <w:pStyle w:val="4"/>
        <w:ind w:firstLine="480"/>
        <w:jc w:val="both"/>
        <w:rPr>
          <w:highlight w:val="none"/>
        </w:rPr>
      </w:pPr>
      <w:r>
        <w:rPr>
          <w:rFonts w:ascii="仿宋_GB2312" w:hAnsi="仿宋_GB2312" w:eastAsia="仿宋_GB2312" w:cs="仿宋_GB2312"/>
          <w:color w:val="000000"/>
          <w:sz w:val="24"/>
          <w:highlight w:val="none"/>
          <w:shd w:val="clear" w:fill="FFFFFF"/>
        </w:rPr>
        <w:t>8.4.9设备出现故障时，维修人员应在接到报修后10分钟内到达现场，设备零修合格率达到100%。一般性维修不过夜，特殊维修不超过24小时。</w:t>
      </w:r>
    </w:p>
    <w:p w14:paraId="65C248DF">
      <w:pPr>
        <w:pStyle w:val="4"/>
        <w:ind w:firstLine="480"/>
        <w:jc w:val="both"/>
        <w:rPr>
          <w:highlight w:val="none"/>
        </w:rPr>
      </w:pPr>
      <w:r>
        <w:rPr>
          <w:rFonts w:ascii="仿宋_GB2312" w:hAnsi="仿宋_GB2312" w:eastAsia="仿宋_GB2312" w:cs="仿宋_GB2312"/>
          <w:color w:val="000000"/>
          <w:sz w:val="24"/>
          <w:highlight w:val="none"/>
          <w:shd w:val="clear" w:fill="FFFFFF"/>
        </w:rPr>
        <w:t>8.4.10用电设备定期维护。按照规定的周期对变配电设备设施进行检查、维护、清洁，并做记录。高压变电柜操作运行正常，检测表显示准确，联控动作正常。变（配）电柜直流操作系统运行正常，蓄电池组充、放电量稳定，符合工作要求。低压配电柜运行正常，各类表计显示正常。高（低）压变压器运行正常，温控显示准确，变（配）电系统联络自切正常。功率因素自动补偿电容器（组）运行正常，自动切换正确可靠。年内确保无重大责任事故，确保用电安全。配电间实行封闭管理，配备灭火器材。</w:t>
      </w:r>
    </w:p>
    <w:p w14:paraId="2F3AECC1">
      <w:pPr>
        <w:pStyle w:val="4"/>
        <w:ind w:firstLine="480"/>
        <w:jc w:val="both"/>
        <w:rPr>
          <w:highlight w:val="none"/>
        </w:rPr>
      </w:pPr>
      <w:r>
        <w:rPr>
          <w:rFonts w:ascii="仿宋_GB2312" w:hAnsi="仿宋_GB2312" w:eastAsia="仿宋_GB2312" w:cs="仿宋_GB2312"/>
          <w:color w:val="000000"/>
          <w:sz w:val="24"/>
          <w:highlight w:val="none"/>
          <w:shd w:val="clear" w:fill="FFFFFF"/>
        </w:rPr>
        <w:t>8.4.11遇供电部门停电通知要第一时间通知业主，遇紧急情况需临时停电应采取必要的紧急处理措施，及时发布停电公告并组织人员对重要场所进行发电供电。</w:t>
      </w:r>
    </w:p>
    <w:p w14:paraId="2C0865BA">
      <w:pPr>
        <w:pStyle w:val="4"/>
        <w:ind w:firstLine="480"/>
        <w:jc w:val="both"/>
        <w:rPr>
          <w:highlight w:val="none"/>
        </w:rPr>
      </w:pPr>
      <w:r>
        <w:rPr>
          <w:rFonts w:ascii="仿宋_GB2312" w:hAnsi="仿宋_GB2312" w:eastAsia="仿宋_GB2312" w:cs="仿宋_GB2312"/>
          <w:color w:val="000000"/>
          <w:sz w:val="24"/>
          <w:highlight w:val="none"/>
          <w:shd w:val="clear" w:fill="FFFFFF"/>
        </w:rPr>
        <w:t>8.5排涝设备设施维护及运行管理</w:t>
      </w:r>
    </w:p>
    <w:p w14:paraId="4F44A63B">
      <w:pPr>
        <w:pStyle w:val="4"/>
        <w:ind w:firstLine="480"/>
        <w:jc w:val="both"/>
        <w:rPr>
          <w:highlight w:val="none"/>
        </w:rPr>
      </w:pPr>
      <w:r>
        <w:rPr>
          <w:rFonts w:ascii="仿宋_GB2312" w:hAnsi="仿宋_GB2312" w:eastAsia="仿宋_GB2312" w:cs="仿宋_GB2312"/>
          <w:color w:val="000000"/>
          <w:sz w:val="24"/>
          <w:highlight w:val="none"/>
          <w:shd w:val="clear" w:fill="FFFFFF"/>
        </w:rPr>
        <w:t>建立排涝设备和排水管网的日常检查巡视制度，对排水管网系统进行日常检查，各类窨井、排水沟内无垃圾杂物，清理及时，避免由此造成的校园场地积水。定期对排涝设备进行维护，以保证排涝设备的可靠性、保证园区正常的运作，排水系统通畅，汛期道路无积水，车库、设备房无积水和浸泡发生；保证室内外给排水系统通畅。</w:t>
      </w:r>
    </w:p>
    <w:p w14:paraId="4564EAB8">
      <w:pPr>
        <w:pStyle w:val="4"/>
        <w:ind w:firstLine="480"/>
        <w:jc w:val="both"/>
        <w:rPr>
          <w:highlight w:val="none"/>
        </w:rPr>
      </w:pPr>
      <w:r>
        <w:rPr>
          <w:rFonts w:ascii="仿宋_GB2312" w:hAnsi="仿宋_GB2312" w:eastAsia="仿宋_GB2312" w:cs="仿宋_GB2312"/>
          <w:color w:val="000000"/>
          <w:sz w:val="24"/>
          <w:highlight w:val="none"/>
          <w:shd w:val="clear" w:fill="FFFFFF"/>
        </w:rPr>
        <w:t>定期检查内河截污井排水通畅情况，如遇排水不畅，及时联系水务和内河管理等部门及时进行疏通，以保障校区排水通畅、不积水、不涨水。在汛期应派专人加强对防洪排涝系统巡查并密切监控相关水位，熟练使用防洪排涝设备，做好校内的排涝工作。如校园出现内涝，及时联系并取得水务和联排联调等政府部门的支持对校园及时进行排涝，保障校区正常的教学生活秩序。</w:t>
      </w:r>
    </w:p>
    <w:p w14:paraId="6BCEC148">
      <w:pPr>
        <w:pStyle w:val="4"/>
        <w:ind w:firstLine="480"/>
        <w:jc w:val="both"/>
        <w:rPr>
          <w:highlight w:val="none"/>
        </w:rPr>
      </w:pPr>
      <w:r>
        <w:rPr>
          <w:rFonts w:ascii="仿宋_GB2312" w:hAnsi="仿宋_GB2312" w:eastAsia="仿宋_GB2312" w:cs="仿宋_GB2312"/>
          <w:color w:val="000000"/>
          <w:sz w:val="24"/>
          <w:highlight w:val="none"/>
          <w:shd w:val="clear" w:fill="FFFFFF"/>
        </w:rPr>
        <w:t>8.6电梯维护及运行管理</w:t>
      </w:r>
    </w:p>
    <w:p w14:paraId="664C4313">
      <w:pPr>
        <w:pStyle w:val="4"/>
        <w:ind w:firstLine="480"/>
        <w:jc w:val="both"/>
        <w:rPr>
          <w:highlight w:val="none"/>
        </w:rPr>
      </w:pPr>
      <w:r>
        <w:rPr>
          <w:rFonts w:ascii="仿宋_GB2312" w:hAnsi="仿宋_GB2312" w:eastAsia="仿宋_GB2312" w:cs="仿宋_GB2312"/>
          <w:color w:val="000000"/>
          <w:sz w:val="24"/>
          <w:highlight w:val="none"/>
          <w:shd w:val="clear" w:fill="FFFFFF"/>
        </w:rPr>
        <w:t>8.6.1电梯的维保工作由校方负责与电梯厂家专业维保机构签订技术服务合同，委托其开展相关检测、维保等工作。中标人负责检测维保工作过程的配合、监督等事宜，承担监督责任，并留存专业机构检测、维保报告。</w:t>
      </w:r>
    </w:p>
    <w:p w14:paraId="46945EF6">
      <w:pPr>
        <w:pStyle w:val="4"/>
        <w:ind w:firstLine="480"/>
        <w:jc w:val="both"/>
        <w:rPr>
          <w:highlight w:val="none"/>
        </w:rPr>
      </w:pPr>
      <w:r>
        <w:rPr>
          <w:rFonts w:ascii="仿宋_GB2312" w:hAnsi="仿宋_GB2312" w:eastAsia="仿宋_GB2312" w:cs="仿宋_GB2312"/>
          <w:color w:val="000000"/>
          <w:sz w:val="24"/>
          <w:highlight w:val="none"/>
          <w:shd w:val="clear" w:fill="FFFFFF"/>
        </w:rPr>
        <w:t>8.6.2中标人负责日常的运行管理，中标人至少配置2名持有由市场监督管理部门发证的《中华人民共和国特种设备安全管理和作业人员证》（项目代号为A、A4中的其中一种）的人员负责电梯的日常运行管理。</w:t>
      </w:r>
    </w:p>
    <w:p w14:paraId="1C322223">
      <w:pPr>
        <w:pStyle w:val="4"/>
        <w:ind w:firstLine="480"/>
        <w:jc w:val="both"/>
        <w:rPr>
          <w:highlight w:val="none"/>
        </w:rPr>
      </w:pPr>
      <w:r>
        <w:rPr>
          <w:rFonts w:ascii="仿宋_GB2312" w:hAnsi="仿宋_GB2312" w:eastAsia="仿宋_GB2312" w:cs="仿宋_GB2312"/>
          <w:color w:val="000000"/>
          <w:sz w:val="24"/>
          <w:highlight w:val="none"/>
          <w:shd w:val="clear" w:fill="FFFFFF"/>
        </w:rPr>
        <w:t>8.6.3运行中电梯出现突然故障，值班人员需在10分钟内赶到现场，尽快先救援乘客，并通知电梯维修人员检修。</w:t>
      </w:r>
    </w:p>
    <w:p w14:paraId="55F7E757">
      <w:pPr>
        <w:pStyle w:val="4"/>
        <w:ind w:firstLine="480"/>
        <w:jc w:val="both"/>
        <w:rPr>
          <w:highlight w:val="none"/>
        </w:rPr>
      </w:pPr>
      <w:r>
        <w:rPr>
          <w:rFonts w:ascii="仿宋_GB2312" w:hAnsi="仿宋_GB2312" w:eastAsia="仿宋_GB2312" w:cs="仿宋_GB2312"/>
          <w:color w:val="000000"/>
          <w:sz w:val="24"/>
          <w:highlight w:val="none"/>
          <w:shd w:val="clear" w:fill="FFFFFF"/>
        </w:rPr>
        <w:t>8.6.4电梯厂家维保人员进入电梯机房维保维修应有专业人员在现场监管，同时中标人必须将人员情况、维保情况、更换配件等工作情况进行登记建档。</w:t>
      </w:r>
    </w:p>
    <w:p w14:paraId="635142CB">
      <w:pPr>
        <w:pStyle w:val="4"/>
        <w:ind w:firstLine="480"/>
        <w:jc w:val="both"/>
        <w:rPr>
          <w:highlight w:val="none"/>
        </w:rPr>
      </w:pPr>
      <w:r>
        <w:rPr>
          <w:rFonts w:ascii="仿宋_GB2312" w:hAnsi="仿宋_GB2312" w:eastAsia="仿宋_GB2312" w:cs="仿宋_GB2312"/>
          <w:color w:val="000000"/>
          <w:sz w:val="24"/>
          <w:highlight w:val="none"/>
          <w:shd w:val="clear" w:fill="FFFFFF"/>
        </w:rPr>
        <w:t>8.6.6用电梯搬运物件时，不可超重，防止造成事故，并注意不得损坏电梯。</w:t>
      </w:r>
    </w:p>
    <w:p w14:paraId="2010EDCB">
      <w:pPr>
        <w:pStyle w:val="4"/>
        <w:ind w:firstLine="480"/>
        <w:jc w:val="both"/>
        <w:rPr>
          <w:highlight w:val="none"/>
        </w:rPr>
      </w:pPr>
      <w:r>
        <w:rPr>
          <w:rFonts w:ascii="仿宋_GB2312" w:hAnsi="仿宋_GB2312" w:eastAsia="仿宋_GB2312" w:cs="仿宋_GB2312"/>
          <w:color w:val="000000"/>
          <w:sz w:val="24"/>
          <w:highlight w:val="none"/>
          <w:shd w:val="clear" w:fill="FFFFFF"/>
        </w:rPr>
        <w:t>8.6.7维护等任何停梯，应挂牌告示。</w:t>
      </w:r>
    </w:p>
    <w:p w14:paraId="69754734">
      <w:pPr>
        <w:pStyle w:val="4"/>
        <w:ind w:firstLine="480"/>
        <w:jc w:val="both"/>
        <w:rPr>
          <w:highlight w:val="none"/>
        </w:rPr>
      </w:pPr>
      <w:r>
        <w:rPr>
          <w:rFonts w:ascii="仿宋_GB2312" w:hAnsi="仿宋_GB2312" w:eastAsia="仿宋_GB2312" w:cs="仿宋_GB2312"/>
          <w:color w:val="000000"/>
          <w:sz w:val="24"/>
          <w:highlight w:val="none"/>
          <w:shd w:val="clear" w:fill="FFFFFF"/>
        </w:rPr>
        <w:t>8.6.8通风、照明及其它附属设施完好。</w:t>
      </w:r>
    </w:p>
    <w:p w14:paraId="65D3BFB0">
      <w:pPr>
        <w:pStyle w:val="4"/>
        <w:ind w:firstLine="480"/>
        <w:jc w:val="both"/>
        <w:rPr>
          <w:highlight w:val="none"/>
        </w:rPr>
      </w:pPr>
      <w:r>
        <w:rPr>
          <w:rFonts w:ascii="仿宋_GB2312" w:hAnsi="仿宋_GB2312" w:eastAsia="仿宋_GB2312" w:cs="仿宋_GB2312"/>
          <w:color w:val="000000"/>
          <w:sz w:val="24"/>
          <w:highlight w:val="none"/>
          <w:shd w:val="clear" w:fill="FFFFFF"/>
        </w:rPr>
        <w:t>8.6.9监督维保单位依据维保合同做好维保工作，按照半月维保、季度维保、年度维保等的不同内容和要求协助专业维保机构进行维护保养，电梯维护保养后应达到国家各项相关规定的标准。电梯准用证、年检合格证、维修保养记录完备。</w:t>
      </w:r>
    </w:p>
    <w:p w14:paraId="3C146DE2">
      <w:pPr>
        <w:pStyle w:val="4"/>
        <w:ind w:firstLine="480"/>
        <w:jc w:val="both"/>
        <w:rPr>
          <w:highlight w:val="none"/>
        </w:rPr>
      </w:pPr>
      <w:r>
        <w:rPr>
          <w:rFonts w:ascii="仿宋_GB2312" w:hAnsi="仿宋_GB2312" w:eastAsia="仿宋_GB2312" w:cs="仿宋_GB2312"/>
          <w:color w:val="000000"/>
          <w:sz w:val="24"/>
          <w:highlight w:val="none"/>
          <w:shd w:val="clear" w:fill="FFFFFF"/>
        </w:rPr>
        <w:t>8.6.10监督维保单位依据维保合同做好电梯运行系统的保洁工作，保持电梯机房清洁，主机表面，地面无积灰，控制柜、主机表面无污渍，轿厢清净无垃圾，按钮开关正常，照明通风良好，通讯设备畅通。</w:t>
      </w:r>
    </w:p>
    <w:p w14:paraId="09E6CACA">
      <w:pPr>
        <w:pStyle w:val="4"/>
        <w:ind w:firstLine="480"/>
        <w:jc w:val="both"/>
        <w:rPr>
          <w:highlight w:val="none"/>
        </w:rPr>
      </w:pPr>
      <w:r>
        <w:rPr>
          <w:rFonts w:ascii="仿宋_GB2312" w:hAnsi="仿宋_GB2312" w:eastAsia="仿宋_GB2312" w:cs="仿宋_GB2312"/>
          <w:color w:val="000000"/>
          <w:sz w:val="24"/>
          <w:highlight w:val="none"/>
          <w:shd w:val="clear" w:fill="FFFFFF"/>
        </w:rPr>
        <w:t>8.6.11有完善的紧急和突发事件应急机制，在出现紧急突发事件时，合理指挥调度，有效的协调各相关岗位积极应对。</w:t>
      </w:r>
    </w:p>
    <w:p w14:paraId="4956D699">
      <w:pPr>
        <w:pStyle w:val="4"/>
        <w:ind w:firstLine="482"/>
        <w:jc w:val="both"/>
        <w:rPr>
          <w:highlight w:val="none"/>
        </w:rPr>
      </w:pPr>
      <w:r>
        <w:rPr>
          <w:rFonts w:ascii="仿宋_GB2312" w:hAnsi="仿宋_GB2312" w:eastAsia="仿宋_GB2312" w:cs="仿宋_GB2312"/>
          <w:b/>
          <w:color w:val="000000"/>
          <w:sz w:val="24"/>
          <w:highlight w:val="none"/>
          <w:shd w:val="clear" w:fill="FFFFFF"/>
        </w:rPr>
        <w:t>9、其他服务要求</w:t>
      </w:r>
    </w:p>
    <w:p w14:paraId="1CDD346A">
      <w:pPr>
        <w:pStyle w:val="4"/>
        <w:ind w:firstLine="480"/>
        <w:jc w:val="both"/>
        <w:rPr>
          <w:highlight w:val="none"/>
        </w:rPr>
      </w:pPr>
      <w:r>
        <w:rPr>
          <w:rFonts w:ascii="仿宋_GB2312" w:hAnsi="仿宋_GB2312" w:eastAsia="仿宋_GB2312" w:cs="仿宋_GB2312"/>
          <w:color w:val="000000"/>
          <w:sz w:val="24"/>
          <w:highlight w:val="none"/>
          <w:shd w:val="clear" w:fill="FFFFFF"/>
        </w:rPr>
        <w:t>9.1防汛抗台保障</w:t>
      </w:r>
    </w:p>
    <w:p w14:paraId="75A1BC93">
      <w:pPr>
        <w:pStyle w:val="4"/>
        <w:ind w:firstLine="480"/>
        <w:jc w:val="both"/>
        <w:rPr>
          <w:highlight w:val="none"/>
        </w:rPr>
      </w:pPr>
      <w:r>
        <w:rPr>
          <w:rFonts w:ascii="仿宋_GB2312" w:hAnsi="仿宋_GB2312" w:eastAsia="仿宋_GB2312" w:cs="仿宋_GB2312"/>
          <w:color w:val="000000"/>
          <w:sz w:val="24"/>
          <w:highlight w:val="none"/>
          <w:shd w:val="clear" w:fill="FFFFFF"/>
        </w:rPr>
        <w:t>组建防汛抗台小组，明确分工。雨季及汛期来临时，确保有人员值班值守，定时巡察校园并及时处理道路积水，适时开启排水泵排水，如遇无法处理的情况，应及时上报学校。如遇汛期，校内主干道积水，应该及时搭设防汛人行便道（搭设便道材料由校方提供），保障师生员工通行；对处于低洼地带的实验实训室和其它重要设施设备房间用沙袋进行围挡（围挡材料沙袋、沙子等均由中标单位提供）。</w:t>
      </w:r>
    </w:p>
    <w:p w14:paraId="62B4DBD0">
      <w:pPr>
        <w:pStyle w:val="4"/>
        <w:ind w:firstLine="480"/>
        <w:jc w:val="both"/>
        <w:rPr>
          <w:highlight w:val="none"/>
        </w:rPr>
      </w:pPr>
      <w:r>
        <w:rPr>
          <w:rFonts w:ascii="仿宋_GB2312" w:hAnsi="仿宋_GB2312" w:eastAsia="仿宋_GB2312" w:cs="仿宋_GB2312"/>
          <w:color w:val="000000"/>
          <w:sz w:val="24"/>
          <w:highlight w:val="none"/>
          <w:shd w:val="clear" w:fill="FFFFFF"/>
        </w:rPr>
        <w:t>9.2重要活动和应急保障</w:t>
      </w:r>
    </w:p>
    <w:p w14:paraId="15B73B58">
      <w:pPr>
        <w:pStyle w:val="4"/>
        <w:ind w:firstLine="480"/>
        <w:jc w:val="both"/>
        <w:rPr>
          <w:highlight w:val="none"/>
        </w:rPr>
      </w:pPr>
      <w:r>
        <w:rPr>
          <w:rFonts w:ascii="仿宋_GB2312" w:hAnsi="仿宋_GB2312" w:eastAsia="仿宋_GB2312" w:cs="仿宋_GB2312"/>
          <w:color w:val="000000"/>
          <w:sz w:val="24"/>
          <w:highlight w:val="none"/>
          <w:shd w:val="clear" w:fill="FFFFFF"/>
        </w:rPr>
        <w:t>学院个别办公场所搬迁、桌椅家具搬运、临时线路安装；重要考试活动，教室桌椅调运，场所布置及卫生清理；运动场所沙坑杂草垃圾清理；学校重要活动及学生活动临时用水用电安装等。物业公司应积极配合并做好相应的工作。突发事件及应急保障任务物业公司必须无条件第一时间全员参与，不得推诿，并做出承诺。</w:t>
      </w:r>
    </w:p>
    <w:p w14:paraId="3D093B6C">
      <w:pPr>
        <w:pStyle w:val="4"/>
        <w:ind w:firstLine="480"/>
        <w:jc w:val="both"/>
        <w:rPr>
          <w:highlight w:val="none"/>
        </w:rPr>
      </w:pPr>
      <w:r>
        <w:rPr>
          <w:rFonts w:ascii="仿宋_GB2312" w:hAnsi="仿宋_GB2312" w:eastAsia="仿宋_GB2312" w:cs="仿宋_GB2312"/>
          <w:color w:val="000000"/>
          <w:sz w:val="24"/>
          <w:highlight w:val="none"/>
          <w:shd w:val="clear" w:fill="FFFFFF"/>
        </w:rPr>
        <w:t>9.3疫情防控工作</w:t>
      </w:r>
    </w:p>
    <w:p w14:paraId="6C61D02B">
      <w:pPr>
        <w:pStyle w:val="4"/>
        <w:ind w:firstLine="480"/>
        <w:jc w:val="both"/>
        <w:rPr>
          <w:highlight w:val="none"/>
        </w:rPr>
      </w:pPr>
      <w:r>
        <w:rPr>
          <w:rFonts w:ascii="仿宋_GB2312" w:hAnsi="仿宋_GB2312" w:eastAsia="仿宋_GB2312" w:cs="仿宋_GB2312"/>
          <w:color w:val="000000"/>
          <w:sz w:val="24"/>
          <w:highlight w:val="none"/>
          <w:shd w:val="clear" w:fill="FFFFFF"/>
        </w:rPr>
        <w:t>根据上级单位文件要求，按照学院肺炎、水痘等疫情防控工作部署，做好校园疫情防控消杀工作。进一步加强校园环境卫生整治。加强爱国卫生运动，加大校园环境卫生整治力度，改善学习环境卫生条件,做到日常通风换气，保持室内空气流通，为广大师生创造卫生、整洁、健康、文明的校园环境。根据学院防疫要求，严格落实新型肺炎、水痘等疫情防控消杀工作。</w:t>
      </w:r>
    </w:p>
    <w:p w14:paraId="436057FF">
      <w:pPr>
        <w:pStyle w:val="4"/>
        <w:ind w:firstLine="480"/>
        <w:jc w:val="both"/>
        <w:rPr>
          <w:highlight w:val="none"/>
        </w:rPr>
      </w:pPr>
      <w:r>
        <w:rPr>
          <w:rFonts w:ascii="仿宋_GB2312" w:hAnsi="仿宋_GB2312" w:eastAsia="仿宋_GB2312" w:cs="仿宋_GB2312"/>
          <w:color w:val="000000"/>
          <w:sz w:val="24"/>
          <w:highlight w:val="none"/>
          <w:shd w:val="clear" w:fill="FFFFFF"/>
        </w:rPr>
        <w:t>9.4生活配套设施维修跟进工作</w:t>
      </w:r>
    </w:p>
    <w:p w14:paraId="0C37AB2B">
      <w:pPr>
        <w:pStyle w:val="4"/>
        <w:ind w:firstLine="480"/>
        <w:jc w:val="both"/>
        <w:rPr>
          <w:highlight w:val="none"/>
        </w:rPr>
      </w:pPr>
      <w:r>
        <w:rPr>
          <w:rFonts w:ascii="仿宋_GB2312" w:hAnsi="仿宋_GB2312" w:eastAsia="仿宋_GB2312" w:cs="仿宋_GB2312"/>
          <w:color w:val="000000"/>
          <w:sz w:val="24"/>
          <w:highlight w:val="none"/>
          <w:shd w:val="clear" w:fill="FFFFFF"/>
        </w:rPr>
        <w:t>协助后勤管理处做好空调、热水淋浴、饮水机、洗衣机、烘干机等生活设施设备清洗和维护维修工作。跟进监督生活设施设备清洗工作，不合格的及时反馈给后勤管理处经办老师。接到报修情况时，登记后转给维保单位和经办老师，并跟进维修进度，报修当日未结单的务必再次转给维保单位和经办老师。</w:t>
      </w:r>
    </w:p>
    <w:p w14:paraId="0E9E5A26">
      <w:pPr>
        <w:pStyle w:val="4"/>
        <w:ind w:firstLine="480"/>
        <w:jc w:val="both"/>
        <w:rPr>
          <w:highlight w:val="none"/>
        </w:rPr>
      </w:pPr>
      <w:r>
        <w:rPr>
          <w:rFonts w:ascii="仿宋_GB2312" w:hAnsi="仿宋_GB2312" w:eastAsia="仿宋_GB2312" w:cs="仿宋_GB2312"/>
          <w:color w:val="000000"/>
          <w:sz w:val="24"/>
          <w:highlight w:val="none"/>
          <w:shd w:val="clear" w:fill="FFFFFF"/>
        </w:rPr>
        <w:t>9.5值班值守要求</w:t>
      </w:r>
    </w:p>
    <w:p w14:paraId="5B22F11E">
      <w:pPr>
        <w:pStyle w:val="4"/>
        <w:ind w:firstLine="480"/>
        <w:jc w:val="both"/>
        <w:rPr>
          <w:highlight w:val="none"/>
        </w:rPr>
      </w:pPr>
      <w:r>
        <w:rPr>
          <w:rFonts w:ascii="仿宋_GB2312" w:hAnsi="仿宋_GB2312" w:eastAsia="仿宋_GB2312" w:cs="仿宋_GB2312"/>
          <w:color w:val="000000"/>
          <w:sz w:val="24"/>
          <w:highlight w:val="none"/>
          <w:shd w:val="clear" w:fill="FFFFFF"/>
        </w:rPr>
        <w:t>节假日值班要求：一名经理/主管+一名办公室人员，放假前两天报后勤管理处审核。若是汛期，另需安排防汛抗台小组值班。</w:t>
      </w:r>
    </w:p>
    <w:p w14:paraId="553CE45D">
      <w:pPr>
        <w:pStyle w:val="4"/>
        <w:ind w:firstLine="480"/>
        <w:jc w:val="both"/>
        <w:rPr>
          <w:highlight w:val="none"/>
        </w:rPr>
      </w:pPr>
      <w:r>
        <w:rPr>
          <w:rFonts w:ascii="仿宋_GB2312" w:hAnsi="仿宋_GB2312" w:eastAsia="仿宋_GB2312" w:cs="仿宋_GB2312"/>
          <w:color w:val="000000"/>
          <w:sz w:val="24"/>
          <w:highlight w:val="none"/>
          <w:shd w:val="clear" w:fill="FFFFFF"/>
        </w:rPr>
        <w:t>夜班值班要求：两名持电工证的电工+一名持特种作业证（电梯）的电梯安全员。</w:t>
      </w:r>
    </w:p>
    <w:p w14:paraId="396C350D">
      <w:pPr>
        <w:pStyle w:val="4"/>
        <w:ind w:firstLine="480"/>
        <w:jc w:val="both"/>
        <w:rPr>
          <w:highlight w:val="none"/>
        </w:rPr>
      </w:pPr>
      <w:r>
        <w:rPr>
          <w:rFonts w:ascii="仿宋_GB2312" w:hAnsi="仿宋_GB2312" w:eastAsia="仿宋_GB2312" w:cs="仿宋_GB2312"/>
          <w:color w:val="000000"/>
          <w:sz w:val="24"/>
          <w:highlight w:val="none"/>
          <w:shd w:val="clear" w:fill="FFFFFF"/>
        </w:rPr>
        <w:t>9.6保密要求</w:t>
      </w:r>
    </w:p>
    <w:p w14:paraId="145E4BDC">
      <w:pPr>
        <w:pStyle w:val="4"/>
        <w:ind w:firstLine="480"/>
        <w:jc w:val="both"/>
        <w:rPr>
          <w:highlight w:val="none"/>
        </w:rPr>
      </w:pPr>
      <w:r>
        <w:rPr>
          <w:rFonts w:ascii="仿宋_GB2312" w:hAnsi="仿宋_GB2312" w:eastAsia="仿宋_GB2312" w:cs="仿宋_GB2312"/>
          <w:color w:val="000000"/>
          <w:sz w:val="24"/>
          <w:highlight w:val="none"/>
          <w:shd w:val="clear" w:fill="FFFFFF"/>
        </w:rPr>
        <w:t>中标人负责对其管理的员工进行经常性保密和安全宣传教育，把保密和安全教育作为一项重要内容贯穿管理工作全过程。认真遵守保密管理规定，做到不该知道的秘密文件不看，不该说的秘密不说，不该问的不问，不该去的地方不去。不得擅自记录、复制、拍摄、摘抄、收藏、携带与保密工作有关文件资料。不得了解或外传招标人内部设施和办公等情况。遵守招标人有关安全、卫生管理的规章制度。不得随意在办公区喧哗，不得携带易燃易爆物品进出，不得随意使用招标人电话谈论与物业工作无关的事。物业管理人员应着装佩胸牌出入办公大楼，未经同意不得擅自进入各办公室。中标人应加强所有物业工作人员的安全教育，若发生任何安全事故，由中标人负全责。中标人须对安全和保密工作做出承诺。</w:t>
      </w:r>
    </w:p>
    <w:p w14:paraId="69C5BF53">
      <w:pPr>
        <w:pStyle w:val="4"/>
        <w:spacing w:after="120"/>
        <w:ind w:right="-285" w:firstLine="241"/>
        <w:jc w:val="left"/>
        <w:rPr>
          <w:highlight w:val="none"/>
        </w:rPr>
      </w:pPr>
      <w:r>
        <w:rPr>
          <w:rFonts w:ascii="仿宋_GB2312" w:hAnsi="仿宋_GB2312" w:eastAsia="仿宋_GB2312" w:cs="仿宋_GB2312"/>
          <w:b/>
          <w:color w:val="000000"/>
          <w:sz w:val="24"/>
          <w:highlight w:val="none"/>
          <w:shd w:val="clear" w:fill="FFFFFF"/>
        </w:rPr>
        <w:t>（三）人员配备要求</w:t>
      </w:r>
    </w:p>
    <w:p w14:paraId="17499F12">
      <w:pPr>
        <w:pStyle w:val="4"/>
        <w:ind w:firstLine="480"/>
        <w:jc w:val="both"/>
        <w:rPr>
          <w:highlight w:val="none"/>
        </w:rPr>
      </w:pPr>
      <w:r>
        <w:rPr>
          <w:rFonts w:ascii="仿宋_GB2312" w:hAnsi="仿宋_GB2312" w:eastAsia="仿宋_GB2312" w:cs="仿宋_GB2312"/>
          <w:color w:val="000000"/>
          <w:sz w:val="24"/>
          <w:highlight w:val="none"/>
          <w:shd w:val="clear" w:fill="FFFFFF"/>
        </w:rPr>
        <w:t>1、学院物业人员要求：以下人员数量配备为基本要求，投标人人员配置不得少于此基本要求。（</w:t>
      </w:r>
      <w:r>
        <w:rPr>
          <w:rFonts w:ascii="仿宋_GB2312" w:hAnsi="仿宋_GB2312" w:eastAsia="仿宋_GB2312" w:cs="仿宋_GB2312"/>
          <w:b/>
          <w:color w:val="000000"/>
          <w:sz w:val="24"/>
          <w:highlight w:val="none"/>
          <w:shd w:val="clear" w:fill="FFFFFF"/>
        </w:rPr>
        <w:t>投标时须分别提供拟派项目经理、工程主管、绿化主管、3名保洁、宿舍主管的身份证复印件，否则按无效标处理</w:t>
      </w:r>
      <w:r>
        <w:rPr>
          <w:rFonts w:ascii="仿宋_GB2312" w:hAnsi="仿宋_GB2312" w:eastAsia="仿宋_GB2312" w:cs="仿宋_GB2312"/>
          <w:color w:val="000000"/>
          <w:sz w:val="24"/>
          <w:highlight w:val="none"/>
          <w:shd w:val="clear" w:fill="FFFFFF"/>
        </w:rPr>
        <w:t>）</w:t>
      </w:r>
    </w:p>
    <w:tbl>
      <w:tblPr>
        <w:tblStyle w:val="2"/>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989"/>
        <w:gridCol w:w="701"/>
        <w:gridCol w:w="1778"/>
        <w:gridCol w:w="2430"/>
        <w:gridCol w:w="2380"/>
      </w:tblGrid>
      <w:tr w14:paraId="182AC8C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278" w:type="dxa"/>
            <w:gridSpan w:val="5"/>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732A7F34">
            <w:pPr>
              <w:pStyle w:val="4"/>
              <w:jc w:val="center"/>
              <w:rPr>
                <w:highlight w:val="none"/>
              </w:rPr>
            </w:pPr>
            <w:r>
              <w:rPr>
                <w:rFonts w:ascii="仿宋_GB2312" w:hAnsi="仿宋_GB2312" w:eastAsia="仿宋_GB2312" w:cs="仿宋_GB2312"/>
                <w:b/>
                <w:color w:val="000000"/>
                <w:sz w:val="28"/>
                <w:highlight w:val="none"/>
              </w:rPr>
              <w:t>物业人员配置要求</w:t>
            </w:r>
          </w:p>
        </w:tc>
      </w:tr>
      <w:tr w14:paraId="76EDAC2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5325E98">
            <w:pPr>
              <w:pStyle w:val="4"/>
              <w:jc w:val="left"/>
              <w:rPr>
                <w:highlight w:val="none"/>
              </w:rPr>
            </w:pPr>
            <w:r>
              <w:rPr>
                <w:rFonts w:ascii="仿宋_GB2312" w:hAnsi="仿宋_GB2312" w:eastAsia="仿宋_GB2312" w:cs="仿宋_GB2312"/>
                <w:b/>
                <w:color w:val="000000"/>
                <w:sz w:val="24"/>
                <w:highlight w:val="none"/>
              </w:rPr>
              <w:t>岗位名称</w:t>
            </w:r>
          </w:p>
        </w:tc>
        <w:tc>
          <w:tcPr>
            <w:tcW w:w="701"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29D44170">
            <w:pPr>
              <w:pStyle w:val="4"/>
              <w:jc w:val="center"/>
              <w:rPr>
                <w:highlight w:val="none"/>
              </w:rPr>
            </w:pPr>
            <w:r>
              <w:rPr>
                <w:rFonts w:ascii="仿宋_GB2312" w:hAnsi="仿宋_GB2312" w:eastAsia="仿宋_GB2312" w:cs="仿宋_GB2312"/>
                <w:b/>
                <w:color w:val="000000"/>
                <w:sz w:val="24"/>
                <w:highlight w:val="none"/>
              </w:rPr>
              <w:t>岗位</w:t>
            </w:r>
            <w:r>
              <w:rPr>
                <w:highlight w:val="none"/>
              </w:rPr>
              <w:br w:type="textWrapping"/>
            </w:r>
            <w:r>
              <w:rPr>
                <w:rFonts w:ascii="仿宋_GB2312" w:hAnsi="仿宋_GB2312" w:eastAsia="仿宋_GB2312" w:cs="仿宋_GB2312"/>
                <w:b/>
                <w:color w:val="000000"/>
                <w:sz w:val="24"/>
                <w:highlight w:val="none"/>
              </w:rPr>
              <w:t>人员</w:t>
            </w:r>
            <w:r>
              <w:rPr>
                <w:highlight w:val="none"/>
              </w:rPr>
              <w:br w:type="textWrapping"/>
            </w:r>
            <w:r>
              <w:rPr>
                <w:rFonts w:ascii="仿宋_GB2312" w:hAnsi="仿宋_GB2312" w:eastAsia="仿宋_GB2312" w:cs="仿宋_GB2312"/>
                <w:b/>
                <w:color w:val="000000"/>
                <w:sz w:val="24"/>
                <w:highlight w:val="none"/>
              </w:rPr>
              <w:t>数量</w:t>
            </w:r>
          </w:p>
        </w:tc>
        <w:tc>
          <w:tcPr>
            <w:tcW w:w="1778"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07B3D845">
            <w:pPr>
              <w:pStyle w:val="4"/>
              <w:jc w:val="center"/>
              <w:rPr>
                <w:highlight w:val="none"/>
              </w:rPr>
            </w:pPr>
            <w:r>
              <w:rPr>
                <w:rFonts w:ascii="仿宋_GB2312" w:hAnsi="仿宋_GB2312" w:eastAsia="仿宋_GB2312" w:cs="仿宋_GB2312"/>
                <w:b/>
                <w:color w:val="000000"/>
                <w:sz w:val="24"/>
                <w:highlight w:val="none"/>
              </w:rPr>
              <w:t>具体岗位</w:t>
            </w:r>
          </w:p>
        </w:tc>
        <w:tc>
          <w:tcPr>
            <w:tcW w:w="2430"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6B5ABF33">
            <w:pPr>
              <w:pStyle w:val="4"/>
              <w:jc w:val="center"/>
              <w:rPr>
                <w:highlight w:val="none"/>
              </w:rPr>
            </w:pPr>
            <w:r>
              <w:rPr>
                <w:rFonts w:ascii="仿宋_GB2312" w:hAnsi="仿宋_GB2312" w:eastAsia="仿宋_GB2312" w:cs="仿宋_GB2312"/>
                <w:b/>
                <w:color w:val="000000"/>
                <w:sz w:val="24"/>
                <w:highlight w:val="none"/>
              </w:rPr>
              <w:t>岗位职责</w:t>
            </w:r>
          </w:p>
        </w:tc>
        <w:tc>
          <w:tcPr>
            <w:tcW w:w="2380"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7B36E0E7">
            <w:pPr>
              <w:pStyle w:val="4"/>
              <w:jc w:val="center"/>
              <w:rPr>
                <w:highlight w:val="none"/>
              </w:rPr>
            </w:pPr>
            <w:r>
              <w:rPr>
                <w:rFonts w:ascii="仿宋_GB2312" w:hAnsi="仿宋_GB2312" w:eastAsia="仿宋_GB2312" w:cs="仿宋_GB2312"/>
                <w:b/>
                <w:color w:val="000000"/>
                <w:sz w:val="24"/>
                <w:highlight w:val="none"/>
              </w:rPr>
              <w:t>任职条件</w:t>
            </w:r>
          </w:p>
        </w:tc>
      </w:tr>
      <w:tr w14:paraId="66EBDD5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tcBorders>
              <w:top w:val="nil"/>
              <w:left w:val="single" w:color="000000" w:sz="4" w:space="0"/>
              <w:bottom w:val="single" w:color="000000" w:sz="4" w:space="0"/>
              <w:right w:val="single" w:color="000000" w:sz="4" w:space="0"/>
            </w:tcBorders>
            <w:shd w:val="clear" w:color="auto" w:fill="FFFFFF"/>
            <w:tcMar>
              <w:top w:w="0" w:type="dxa"/>
              <w:left w:w="105" w:type="dxa"/>
              <w:bottom w:w="0" w:type="dxa"/>
              <w:right w:w="105" w:type="dxa"/>
            </w:tcMar>
            <w:vAlign w:val="top"/>
          </w:tcPr>
          <w:p w14:paraId="6EEFE8A8">
            <w:pPr>
              <w:pStyle w:val="4"/>
              <w:jc w:val="left"/>
              <w:rPr>
                <w:highlight w:val="none"/>
              </w:rPr>
            </w:pPr>
            <w:r>
              <w:rPr>
                <w:rFonts w:ascii="仿宋_GB2312" w:hAnsi="仿宋_GB2312" w:eastAsia="仿宋_GB2312" w:cs="仿宋_GB2312"/>
                <w:color w:val="000000"/>
                <w:sz w:val="24"/>
                <w:highlight w:val="none"/>
              </w:rPr>
              <w:t>项目经理</w:t>
            </w:r>
          </w:p>
        </w:tc>
        <w:tc>
          <w:tcPr>
            <w:tcW w:w="701"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41F50948">
            <w:pPr>
              <w:pStyle w:val="4"/>
              <w:jc w:val="center"/>
              <w:rPr>
                <w:highlight w:val="none"/>
              </w:rPr>
            </w:pPr>
            <w:r>
              <w:rPr>
                <w:rFonts w:ascii="仿宋_GB2312" w:hAnsi="仿宋_GB2312" w:eastAsia="仿宋_GB2312" w:cs="仿宋_GB2312"/>
                <w:color w:val="000000"/>
                <w:sz w:val="24"/>
                <w:highlight w:val="none"/>
              </w:rPr>
              <w:t>1</w:t>
            </w: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2A2D8AFB">
            <w:pPr>
              <w:pStyle w:val="4"/>
              <w:jc w:val="left"/>
              <w:rPr>
                <w:highlight w:val="none"/>
              </w:rPr>
            </w:pPr>
            <w:r>
              <w:rPr>
                <w:rFonts w:ascii="仿宋_GB2312" w:hAnsi="仿宋_GB2312" w:eastAsia="仿宋_GB2312" w:cs="仿宋_GB2312"/>
                <w:color w:val="000000"/>
                <w:sz w:val="24"/>
                <w:highlight w:val="none"/>
              </w:rPr>
              <w:t>项目经理</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27E3BD26">
            <w:pPr>
              <w:pStyle w:val="4"/>
              <w:jc w:val="left"/>
              <w:rPr>
                <w:highlight w:val="none"/>
              </w:rPr>
            </w:pPr>
            <w:r>
              <w:rPr>
                <w:rFonts w:ascii="仿宋_GB2312" w:hAnsi="仿宋_GB2312" w:eastAsia="仿宋_GB2312" w:cs="仿宋_GB2312"/>
                <w:color w:val="000000"/>
                <w:sz w:val="24"/>
                <w:highlight w:val="none"/>
              </w:rPr>
              <w:t>负责物业管理全面工作，负责收取及审阅每天的投诉记录、巡查报告及管理日志，并跟进处理;制定规章制度及员工守则，编制及安排各级管理员工值班表，并负责对本部门员工的工作做出安排及进行指导、监督及考核;配合学院各类型的维修、改造、修缮或基建项目的施工进行监督。</w:t>
            </w:r>
          </w:p>
        </w:tc>
        <w:tc>
          <w:tcPr>
            <w:tcW w:w="2380" w:type="dxa"/>
            <w:tcBorders>
              <w:top w:val="nil"/>
              <w:left w:val="nil"/>
              <w:bottom w:val="single" w:color="000000" w:sz="4" w:space="0"/>
              <w:right w:val="single" w:color="000000" w:sz="4" w:space="0"/>
            </w:tcBorders>
            <w:tcMar>
              <w:top w:w="0" w:type="dxa"/>
              <w:left w:w="105" w:type="dxa"/>
              <w:bottom w:w="0" w:type="dxa"/>
              <w:right w:w="105" w:type="dxa"/>
            </w:tcMar>
            <w:vAlign w:val="top"/>
          </w:tcPr>
          <w:p w14:paraId="1A8FD109">
            <w:pPr>
              <w:pStyle w:val="4"/>
              <w:jc w:val="left"/>
              <w:rPr>
                <w:highlight w:val="none"/>
              </w:rPr>
            </w:pPr>
            <w:r>
              <w:rPr>
                <w:rFonts w:ascii="仿宋_GB2312" w:hAnsi="仿宋_GB2312" w:eastAsia="仿宋_GB2312" w:cs="仿宋_GB2312"/>
                <w:sz w:val="21"/>
                <w:highlight w:val="none"/>
              </w:rPr>
              <w:t xml:space="preserve"> </w:t>
            </w:r>
            <w:r>
              <w:rPr>
                <w:highlight w:val="none"/>
              </w:rPr>
              <w:br w:type="textWrapping"/>
            </w:r>
            <w:r>
              <w:rPr>
                <w:rFonts w:ascii="仿宋_GB2312" w:hAnsi="仿宋_GB2312" w:eastAsia="仿宋_GB2312" w:cs="仿宋_GB2312"/>
                <w:color w:val="000000"/>
                <w:sz w:val="24"/>
                <w:highlight w:val="none"/>
              </w:rPr>
              <w:t>1)具备3年以上(含3年)的物业经营管理经验，具有工程、建造和管理方面专业技能，大专（含）以上学历；</w:t>
            </w:r>
            <w:r>
              <w:rPr>
                <w:highlight w:val="none"/>
              </w:rPr>
              <w:br w:type="textWrapping"/>
            </w:r>
            <w:r>
              <w:rPr>
                <w:rFonts w:ascii="仿宋_GB2312" w:hAnsi="仿宋_GB2312" w:eastAsia="仿宋_GB2312" w:cs="仿宋_GB2312"/>
                <w:color w:val="000000"/>
                <w:sz w:val="24"/>
                <w:highlight w:val="none"/>
              </w:rPr>
              <w:t>2）年龄不满51周岁；</w:t>
            </w:r>
          </w:p>
          <w:p w14:paraId="7DA76D4C">
            <w:pPr>
              <w:pStyle w:val="4"/>
              <w:jc w:val="left"/>
              <w:rPr>
                <w:highlight w:val="none"/>
              </w:rPr>
            </w:pPr>
            <w:r>
              <w:rPr>
                <w:rFonts w:ascii="仿宋_GB2312" w:hAnsi="仿宋_GB2312" w:eastAsia="仿宋_GB2312" w:cs="仿宋_GB2312"/>
                <w:color w:val="000000"/>
                <w:sz w:val="24"/>
                <w:highlight w:val="none"/>
              </w:rPr>
              <w:t>3）近3年所负责项目经营管理期间没有发生重大安全事故；</w:t>
            </w:r>
            <w:r>
              <w:rPr>
                <w:highlight w:val="none"/>
              </w:rPr>
              <w:br w:type="textWrapping"/>
            </w:r>
            <w:r>
              <w:rPr>
                <w:rFonts w:ascii="仿宋_GB2312" w:hAnsi="仿宋_GB2312" w:eastAsia="仿宋_GB2312" w:cs="仿宋_GB2312"/>
                <w:color w:val="000000"/>
                <w:sz w:val="24"/>
                <w:highlight w:val="none"/>
              </w:rPr>
              <w:t>4）身体健康；</w:t>
            </w:r>
            <w:r>
              <w:rPr>
                <w:highlight w:val="none"/>
              </w:rPr>
              <w:br w:type="textWrapping"/>
            </w:r>
            <w:r>
              <w:rPr>
                <w:rFonts w:ascii="仿宋_GB2312" w:hAnsi="仿宋_GB2312" w:eastAsia="仿宋_GB2312" w:cs="仿宋_GB2312"/>
                <w:color w:val="000000"/>
                <w:sz w:val="24"/>
                <w:highlight w:val="none"/>
              </w:rPr>
              <w:t>5）无刑事违法犯罪记录。</w:t>
            </w:r>
          </w:p>
        </w:tc>
      </w:tr>
      <w:tr w14:paraId="7F9AC7E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restart"/>
            <w:tcBorders>
              <w:top w:val="nil"/>
              <w:left w:val="single" w:color="000000" w:sz="4" w:space="0"/>
              <w:bottom w:val="single" w:color="000000" w:sz="4" w:space="0"/>
              <w:right w:val="single" w:color="000000" w:sz="4" w:space="0"/>
            </w:tcBorders>
            <w:shd w:val="clear" w:color="auto" w:fill="FFFFFF"/>
            <w:tcMar>
              <w:top w:w="0" w:type="dxa"/>
              <w:left w:w="105" w:type="dxa"/>
              <w:bottom w:w="0" w:type="dxa"/>
              <w:right w:w="105" w:type="dxa"/>
            </w:tcMar>
            <w:vAlign w:val="top"/>
          </w:tcPr>
          <w:p w14:paraId="49C5BB99">
            <w:pPr>
              <w:pStyle w:val="4"/>
              <w:jc w:val="left"/>
              <w:rPr>
                <w:highlight w:val="none"/>
              </w:rPr>
            </w:pPr>
            <w:r>
              <w:rPr>
                <w:rFonts w:ascii="仿宋_GB2312" w:hAnsi="仿宋_GB2312" w:eastAsia="仿宋_GB2312" w:cs="仿宋_GB2312"/>
                <w:color w:val="000000"/>
                <w:sz w:val="24"/>
                <w:highlight w:val="none"/>
              </w:rPr>
              <w:t>保洁、宿舍主管</w:t>
            </w:r>
          </w:p>
        </w:tc>
        <w:tc>
          <w:tcPr>
            <w:tcW w:w="701" w:type="dxa"/>
            <w:vMerge w:val="restart"/>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19BFDA61">
            <w:pPr>
              <w:pStyle w:val="4"/>
              <w:jc w:val="center"/>
              <w:rPr>
                <w:highlight w:val="none"/>
              </w:rPr>
            </w:pPr>
            <w:r>
              <w:rPr>
                <w:rFonts w:ascii="仿宋_GB2312" w:hAnsi="仿宋_GB2312" w:eastAsia="仿宋_GB2312" w:cs="仿宋_GB2312"/>
                <w:color w:val="000000"/>
                <w:sz w:val="24"/>
                <w:highlight w:val="none"/>
              </w:rPr>
              <w:t>3</w:t>
            </w: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1DB649D3">
            <w:pPr>
              <w:pStyle w:val="4"/>
              <w:jc w:val="left"/>
              <w:rPr>
                <w:highlight w:val="none"/>
              </w:rPr>
            </w:pPr>
            <w:r>
              <w:rPr>
                <w:rFonts w:ascii="仿宋_GB2312" w:hAnsi="仿宋_GB2312" w:eastAsia="仿宋_GB2312" w:cs="仿宋_GB2312"/>
                <w:color w:val="000000"/>
                <w:sz w:val="24"/>
                <w:highlight w:val="none"/>
              </w:rPr>
              <w:t>福道园、福佑园保洁、宿舍主管</w:t>
            </w:r>
          </w:p>
        </w:tc>
        <w:tc>
          <w:tcPr>
            <w:tcW w:w="2430" w:type="dxa"/>
            <w:vMerge w:val="restart"/>
            <w:tcBorders>
              <w:top w:val="nil"/>
              <w:left w:val="nil"/>
              <w:bottom w:val="single" w:color="000000" w:sz="4" w:space="0"/>
              <w:right w:val="single" w:color="000000" w:sz="4" w:space="0"/>
            </w:tcBorders>
            <w:tcMar>
              <w:top w:w="0" w:type="dxa"/>
              <w:left w:w="105" w:type="dxa"/>
              <w:bottom w:w="0" w:type="dxa"/>
              <w:right w:w="105" w:type="dxa"/>
            </w:tcMar>
            <w:vAlign w:val="top"/>
          </w:tcPr>
          <w:p w14:paraId="2C743F80">
            <w:pPr>
              <w:pStyle w:val="4"/>
              <w:jc w:val="left"/>
              <w:rPr>
                <w:highlight w:val="none"/>
              </w:rPr>
            </w:pPr>
            <w:r>
              <w:rPr>
                <w:rFonts w:ascii="仿宋_GB2312" w:hAnsi="仿宋_GB2312" w:eastAsia="仿宋_GB2312" w:cs="仿宋_GB2312"/>
                <w:color w:val="000000"/>
                <w:sz w:val="24"/>
                <w:highlight w:val="none"/>
              </w:rPr>
              <w:t>负责管辖区域楼宇、公共区域及附属设施的保洁员和宿舍管理员的工作安排、监督和考核；每天巡视各区域卫生的状况和宿舍管理员上班情况，及时发现问题并解决问题。</w:t>
            </w:r>
          </w:p>
        </w:tc>
        <w:tc>
          <w:tcPr>
            <w:tcW w:w="2380" w:type="dxa"/>
            <w:vMerge w:val="restart"/>
            <w:tcBorders>
              <w:top w:val="nil"/>
              <w:left w:val="nil"/>
              <w:bottom w:val="single" w:color="000000" w:sz="4" w:space="0"/>
              <w:right w:val="single" w:color="000000" w:sz="4" w:space="0"/>
            </w:tcBorders>
            <w:tcMar>
              <w:top w:w="0" w:type="dxa"/>
              <w:left w:w="105" w:type="dxa"/>
              <w:bottom w:w="0" w:type="dxa"/>
              <w:right w:w="105" w:type="dxa"/>
            </w:tcMar>
            <w:vAlign w:val="top"/>
          </w:tcPr>
          <w:p w14:paraId="1C58712B">
            <w:pPr>
              <w:pStyle w:val="4"/>
              <w:jc w:val="left"/>
              <w:rPr>
                <w:highlight w:val="none"/>
              </w:rPr>
            </w:pPr>
            <w:r>
              <w:rPr>
                <w:rFonts w:ascii="仿宋_GB2312" w:hAnsi="仿宋_GB2312" w:eastAsia="仿宋_GB2312" w:cs="仿宋_GB2312"/>
                <w:color w:val="000000"/>
                <w:sz w:val="24"/>
                <w:highlight w:val="none"/>
              </w:rPr>
              <w:t>3年（含）以上主管工作经验，熟悉保洁和宿舍管理，大专（含）及以上学历、仪表端庄，年龄不满51周岁；服务意识强，身体健康。无刑事违法犯罪记录。</w:t>
            </w:r>
          </w:p>
        </w:tc>
      </w:tr>
      <w:tr w14:paraId="46A61E2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0DEB8C21">
            <w:pPr>
              <w:rPr>
                <w:highlight w:val="none"/>
              </w:rPr>
            </w:pPr>
          </w:p>
        </w:tc>
        <w:tc>
          <w:tcPr>
            <w:tcW w:w="701" w:type="dxa"/>
            <w:vMerge w:val="continue"/>
            <w:tcBorders>
              <w:top w:val="nil"/>
              <w:left w:val="nil"/>
              <w:bottom w:val="single" w:color="000000" w:sz="4" w:space="0"/>
              <w:right w:val="single" w:color="000000" w:sz="4" w:space="0"/>
            </w:tcBorders>
          </w:tcPr>
          <w:p w14:paraId="51D19D4A">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4A2495C4">
            <w:pPr>
              <w:pStyle w:val="4"/>
              <w:jc w:val="left"/>
              <w:rPr>
                <w:highlight w:val="none"/>
              </w:rPr>
            </w:pPr>
            <w:r>
              <w:rPr>
                <w:rFonts w:ascii="仿宋_GB2312" w:hAnsi="仿宋_GB2312" w:eastAsia="仿宋_GB2312" w:cs="仿宋_GB2312"/>
                <w:color w:val="000000"/>
                <w:sz w:val="24"/>
                <w:highlight w:val="none"/>
              </w:rPr>
              <w:t>福航园、长安保洁、宿舍主管</w:t>
            </w:r>
          </w:p>
        </w:tc>
        <w:tc>
          <w:tcPr>
            <w:tcW w:w="2430" w:type="dxa"/>
            <w:vMerge w:val="continue"/>
            <w:tcBorders>
              <w:top w:val="nil"/>
              <w:left w:val="nil"/>
              <w:bottom w:val="single" w:color="000000" w:sz="4" w:space="0"/>
              <w:right w:val="single" w:color="000000" w:sz="4" w:space="0"/>
            </w:tcBorders>
          </w:tcPr>
          <w:p w14:paraId="2BAC3E9C">
            <w:pPr>
              <w:rPr>
                <w:highlight w:val="none"/>
              </w:rPr>
            </w:pPr>
          </w:p>
        </w:tc>
        <w:tc>
          <w:tcPr>
            <w:tcW w:w="2380" w:type="dxa"/>
            <w:vMerge w:val="continue"/>
            <w:tcBorders>
              <w:top w:val="nil"/>
              <w:left w:val="nil"/>
              <w:bottom w:val="single" w:color="000000" w:sz="4" w:space="0"/>
              <w:right w:val="single" w:color="000000" w:sz="4" w:space="0"/>
            </w:tcBorders>
          </w:tcPr>
          <w:p w14:paraId="5D946BC5">
            <w:pPr>
              <w:rPr>
                <w:highlight w:val="none"/>
              </w:rPr>
            </w:pPr>
          </w:p>
        </w:tc>
      </w:tr>
      <w:tr w14:paraId="7B2B2EA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4486E826">
            <w:pPr>
              <w:rPr>
                <w:highlight w:val="none"/>
              </w:rPr>
            </w:pPr>
          </w:p>
        </w:tc>
        <w:tc>
          <w:tcPr>
            <w:tcW w:w="701" w:type="dxa"/>
            <w:vMerge w:val="continue"/>
            <w:tcBorders>
              <w:top w:val="nil"/>
              <w:left w:val="nil"/>
              <w:bottom w:val="single" w:color="000000" w:sz="4" w:space="0"/>
              <w:right w:val="single" w:color="000000" w:sz="4" w:space="0"/>
            </w:tcBorders>
          </w:tcPr>
          <w:p w14:paraId="0C8124D0">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0540F0FB">
            <w:pPr>
              <w:pStyle w:val="4"/>
              <w:jc w:val="left"/>
              <w:rPr>
                <w:highlight w:val="none"/>
              </w:rPr>
            </w:pPr>
            <w:r>
              <w:rPr>
                <w:rFonts w:ascii="仿宋_GB2312" w:hAnsi="仿宋_GB2312" w:eastAsia="仿宋_GB2312" w:cs="仿宋_GB2312"/>
                <w:color w:val="000000"/>
                <w:sz w:val="24"/>
                <w:highlight w:val="none"/>
              </w:rPr>
              <w:t>福船园保洁、宿舍主管</w:t>
            </w:r>
          </w:p>
        </w:tc>
        <w:tc>
          <w:tcPr>
            <w:tcW w:w="2430" w:type="dxa"/>
            <w:vMerge w:val="continue"/>
            <w:tcBorders>
              <w:top w:val="nil"/>
              <w:left w:val="nil"/>
              <w:bottom w:val="single" w:color="000000" w:sz="4" w:space="0"/>
              <w:right w:val="single" w:color="000000" w:sz="4" w:space="0"/>
            </w:tcBorders>
          </w:tcPr>
          <w:p w14:paraId="0E4CE351">
            <w:pPr>
              <w:rPr>
                <w:highlight w:val="none"/>
              </w:rPr>
            </w:pPr>
          </w:p>
        </w:tc>
        <w:tc>
          <w:tcPr>
            <w:tcW w:w="2380" w:type="dxa"/>
            <w:vMerge w:val="continue"/>
            <w:tcBorders>
              <w:top w:val="nil"/>
              <w:left w:val="nil"/>
              <w:bottom w:val="single" w:color="000000" w:sz="4" w:space="0"/>
              <w:right w:val="single" w:color="000000" w:sz="4" w:space="0"/>
            </w:tcBorders>
          </w:tcPr>
          <w:p w14:paraId="21AA6175">
            <w:pPr>
              <w:rPr>
                <w:highlight w:val="none"/>
              </w:rPr>
            </w:pPr>
          </w:p>
        </w:tc>
      </w:tr>
      <w:tr w14:paraId="1AFCCFE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tcBorders>
              <w:top w:val="nil"/>
              <w:left w:val="single" w:color="000000" w:sz="4" w:space="0"/>
              <w:bottom w:val="single" w:color="000000" w:sz="4" w:space="0"/>
              <w:right w:val="single" w:color="000000" w:sz="4" w:space="0"/>
            </w:tcBorders>
            <w:shd w:val="clear" w:color="auto" w:fill="FFFFFF"/>
            <w:tcMar>
              <w:top w:w="0" w:type="dxa"/>
              <w:left w:w="105" w:type="dxa"/>
              <w:bottom w:w="0" w:type="dxa"/>
              <w:right w:w="105" w:type="dxa"/>
            </w:tcMar>
            <w:vAlign w:val="top"/>
          </w:tcPr>
          <w:p w14:paraId="494E04D7">
            <w:pPr>
              <w:pStyle w:val="4"/>
              <w:jc w:val="left"/>
              <w:rPr>
                <w:highlight w:val="none"/>
              </w:rPr>
            </w:pPr>
            <w:r>
              <w:rPr>
                <w:rFonts w:ascii="仿宋_GB2312" w:hAnsi="仿宋_GB2312" w:eastAsia="仿宋_GB2312" w:cs="仿宋_GB2312"/>
                <w:color w:val="000000"/>
                <w:sz w:val="24"/>
                <w:highlight w:val="none"/>
              </w:rPr>
              <w:t>工程主管</w:t>
            </w:r>
          </w:p>
        </w:tc>
        <w:tc>
          <w:tcPr>
            <w:tcW w:w="701"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18B5989F">
            <w:pPr>
              <w:pStyle w:val="4"/>
              <w:jc w:val="center"/>
              <w:rPr>
                <w:highlight w:val="none"/>
              </w:rPr>
            </w:pPr>
            <w:r>
              <w:rPr>
                <w:rFonts w:ascii="仿宋_GB2312" w:hAnsi="仿宋_GB2312" w:eastAsia="仿宋_GB2312" w:cs="仿宋_GB2312"/>
                <w:color w:val="000000"/>
                <w:sz w:val="24"/>
                <w:highlight w:val="none"/>
              </w:rPr>
              <w:t>1</w:t>
            </w: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760EA258">
            <w:pPr>
              <w:pStyle w:val="4"/>
              <w:jc w:val="left"/>
              <w:rPr>
                <w:highlight w:val="none"/>
              </w:rPr>
            </w:pPr>
            <w:r>
              <w:rPr>
                <w:rFonts w:ascii="仿宋_GB2312" w:hAnsi="仿宋_GB2312" w:eastAsia="仿宋_GB2312" w:cs="仿宋_GB2312"/>
                <w:color w:val="000000"/>
                <w:sz w:val="24"/>
                <w:highlight w:val="none"/>
              </w:rPr>
              <w:t>全校区工程主管</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67B9D8B5">
            <w:pPr>
              <w:pStyle w:val="4"/>
              <w:jc w:val="left"/>
              <w:rPr>
                <w:highlight w:val="none"/>
              </w:rPr>
            </w:pPr>
            <w:r>
              <w:rPr>
                <w:rFonts w:ascii="仿宋_GB2312" w:hAnsi="仿宋_GB2312" w:eastAsia="仿宋_GB2312" w:cs="仿宋_GB2312"/>
                <w:color w:val="000000"/>
                <w:sz w:val="24"/>
                <w:highlight w:val="none"/>
              </w:rPr>
              <w:t>负责维修管理和指导以及公共区域设施设备管理的日常巡查和指导工作。接收维修任务及时安排、跟踪并及时反馈，考核维修人员的维修质量。</w:t>
            </w:r>
          </w:p>
        </w:tc>
        <w:tc>
          <w:tcPr>
            <w:tcW w:w="2380" w:type="dxa"/>
            <w:tcBorders>
              <w:top w:val="nil"/>
              <w:left w:val="nil"/>
              <w:bottom w:val="single" w:color="000000" w:sz="4" w:space="0"/>
              <w:right w:val="single" w:color="000000" w:sz="4" w:space="0"/>
            </w:tcBorders>
            <w:tcMar>
              <w:top w:w="0" w:type="dxa"/>
              <w:left w:w="105" w:type="dxa"/>
              <w:bottom w:w="0" w:type="dxa"/>
              <w:right w:w="105" w:type="dxa"/>
            </w:tcMar>
            <w:vAlign w:val="top"/>
          </w:tcPr>
          <w:p w14:paraId="24853369">
            <w:pPr>
              <w:pStyle w:val="4"/>
              <w:jc w:val="left"/>
              <w:rPr>
                <w:highlight w:val="none"/>
              </w:rPr>
            </w:pPr>
            <w:r>
              <w:rPr>
                <w:rFonts w:ascii="仿宋_GB2312" w:hAnsi="仿宋_GB2312" w:eastAsia="仿宋_GB2312" w:cs="仿宋_GB2312"/>
                <w:color w:val="000000"/>
                <w:sz w:val="24"/>
                <w:highlight w:val="none"/>
              </w:rPr>
              <w:t>年龄不满51周岁；具有3年（含）以上工程或修缮管理经验，具有电工证；具有电气类专业技能和水平，具有中央空调、电梯及其他特种设备的运行管理和技能，具有各类建筑机电配套设施维护及高压电、低压电作业等特种作业操作技能，沟通、应变、协调能力强。身体健康。无刑事违法犯罪记录。</w:t>
            </w:r>
          </w:p>
        </w:tc>
      </w:tr>
      <w:tr w14:paraId="4A1D2C2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tcBorders>
              <w:top w:val="nil"/>
              <w:left w:val="single" w:color="000000" w:sz="4" w:space="0"/>
              <w:bottom w:val="single" w:color="000000" w:sz="4" w:space="0"/>
              <w:right w:val="single" w:color="000000" w:sz="4" w:space="0"/>
            </w:tcBorders>
            <w:shd w:val="clear" w:color="auto" w:fill="FFFFFF"/>
            <w:tcMar>
              <w:top w:w="0" w:type="dxa"/>
              <w:left w:w="105" w:type="dxa"/>
              <w:bottom w:w="0" w:type="dxa"/>
              <w:right w:w="105" w:type="dxa"/>
            </w:tcMar>
            <w:vAlign w:val="top"/>
          </w:tcPr>
          <w:p w14:paraId="4DCE94B2">
            <w:pPr>
              <w:pStyle w:val="4"/>
              <w:jc w:val="left"/>
              <w:rPr>
                <w:highlight w:val="none"/>
              </w:rPr>
            </w:pPr>
            <w:r>
              <w:rPr>
                <w:rFonts w:ascii="仿宋_GB2312" w:hAnsi="仿宋_GB2312" w:eastAsia="仿宋_GB2312" w:cs="仿宋_GB2312"/>
                <w:color w:val="000000"/>
                <w:sz w:val="24"/>
                <w:highlight w:val="none"/>
              </w:rPr>
              <w:t>艺新楼楼管</w:t>
            </w:r>
          </w:p>
        </w:tc>
        <w:tc>
          <w:tcPr>
            <w:tcW w:w="701"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0A576C80">
            <w:pPr>
              <w:pStyle w:val="4"/>
              <w:jc w:val="center"/>
              <w:rPr>
                <w:highlight w:val="none"/>
              </w:rPr>
            </w:pPr>
            <w:r>
              <w:rPr>
                <w:rFonts w:ascii="仿宋_GB2312" w:hAnsi="仿宋_GB2312" w:eastAsia="仿宋_GB2312" w:cs="仿宋_GB2312"/>
                <w:color w:val="000000"/>
                <w:sz w:val="24"/>
                <w:highlight w:val="none"/>
              </w:rPr>
              <w:t>1</w:t>
            </w: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7AE6F627">
            <w:pPr>
              <w:pStyle w:val="4"/>
              <w:jc w:val="left"/>
              <w:rPr>
                <w:highlight w:val="none"/>
              </w:rPr>
            </w:pPr>
            <w:r>
              <w:rPr>
                <w:rFonts w:ascii="仿宋_GB2312" w:hAnsi="仿宋_GB2312" w:eastAsia="仿宋_GB2312" w:cs="仿宋_GB2312"/>
                <w:color w:val="000000"/>
                <w:sz w:val="24"/>
                <w:highlight w:val="none"/>
              </w:rPr>
              <w:t>艺新楼楼管</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2524617A">
            <w:pPr>
              <w:pStyle w:val="4"/>
              <w:jc w:val="left"/>
              <w:rPr>
                <w:highlight w:val="none"/>
              </w:rPr>
            </w:pPr>
            <w:r>
              <w:rPr>
                <w:rFonts w:ascii="仿宋_GB2312" w:hAnsi="仿宋_GB2312" w:eastAsia="仿宋_GB2312" w:cs="仿宋_GB2312"/>
                <w:color w:val="000000"/>
                <w:sz w:val="24"/>
                <w:highlight w:val="none"/>
              </w:rPr>
              <w:t>配合艺新楼管理中心并协助福船园保洁、宿舍主管工作。</w:t>
            </w:r>
          </w:p>
        </w:tc>
        <w:tc>
          <w:tcPr>
            <w:tcW w:w="2380" w:type="dxa"/>
            <w:tcBorders>
              <w:top w:val="nil"/>
              <w:left w:val="nil"/>
              <w:bottom w:val="single" w:color="000000" w:sz="4" w:space="0"/>
              <w:right w:val="single" w:color="000000" w:sz="4" w:space="0"/>
            </w:tcBorders>
            <w:tcMar>
              <w:top w:w="0" w:type="dxa"/>
              <w:left w:w="105" w:type="dxa"/>
              <w:bottom w:w="0" w:type="dxa"/>
              <w:right w:w="105" w:type="dxa"/>
            </w:tcMar>
            <w:vAlign w:val="top"/>
          </w:tcPr>
          <w:p w14:paraId="29642CD7">
            <w:pPr>
              <w:pStyle w:val="4"/>
              <w:jc w:val="left"/>
              <w:rPr>
                <w:highlight w:val="none"/>
              </w:rPr>
            </w:pPr>
            <w:r>
              <w:rPr>
                <w:rFonts w:ascii="仿宋_GB2312" w:hAnsi="仿宋_GB2312" w:eastAsia="仿宋_GB2312" w:cs="仿宋_GB2312"/>
                <w:color w:val="000000"/>
                <w:sz w:val="24"/>
                <w:highlight w:val="none"/>
              </w:rPr>
              <w:t>年龄不满51周岁，形象端正，举止大方，身体健康。无刑事违法犯罪记录。</w:t>
            </w:r>
          </w:p>
        </w:tc>
      </w:tr>
      <w:tr w14:paraId="147C31E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restart"/>
            <w:tcBorders>
              <w:top w:val="nil"/>
              <w:left w:val="single" w:color="000000" w:sz="4" w:space="0"/>
              <w:bottom w:val="single" w:color="000000" w:sz="4" w:space="0"/>
              <w:right w:val="single" w:color="000000" w:sz="4" w:space="0"/>
            </w:tcBorders>
            <w:shd w:val="clear" w:color="auto" w:fill="FFFFFF"/>
            <w:tcMar>
              <w:top w:w="0" w:type="dxa"/>
              <w:left w:w="105" w:type="dxa"/>
              <w:bottom w:w="0" w:type="dxa"/>
              <w:right w:w="105" w:type="dxa"/>
            </w:tcMar>
            <w:vAlign w:val="top"/>
          </w:tcPr>
          <w:p w14:paraId="7ABF0CA7">
            <w:pPr>
              <w:pStyle w:val="4"/>
              <w:jc w:val="left"/>
              <w:rPr>
                <w:highlight w:val="none"/>
              </w:rPr>
            </w:pPr>
            <w:r>
              <w:rPr>
                <w:rFonts w:ascii="仿宋_GB2312" w:hAnsi="仿宋_GB2312" w:eastAsia="仿宋_GB2312" w:cs="仿宋_GB2312"/>
                <w:color w:val="000000"/>
                <w:sz w:val="24"/>
                <w:highlight w:val="none"/>
              </w:rPr>
              <w:t>前台报修</w:t>
            </w:r>
          </w:p>
        </w:tc>
        <w:tc>
          <w:tcPr>
            <w:tcW w:w="701" w:type="dxa"/>
            <w:vMerge w:val="restart"/>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695CD36D">
            <w:pPr>
              <w:pStyle w:val="4"/>
              <w:jc w:val="center"/>
              <w:rPr>
                <w:highlight w:val="none"/>
              </w:rPr>
            </w:pPr>
            <w:r>
              <w:rPr>
                <w:rFonts w:ascii="仿宋_GB2312" w:hAnsi="仿宋_GB2312" w:eastAsia="仿宋_GB2312" w:cs="仿宋_GB2312"/>
                <w:color w:val="000000"/>
                <w:sz w:val="24"/>
                <w:highlight w:val="none"/>
              </w:rPr>
              <w:t>3</w:t>
            </w: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4629AC73">
            <w:pPr>
              <w:pStyle w:val="4"/>
              <w:jc w:val="left"/>
              <w:rPr>
                <w:highlight w:val="none"/>
              </w:rPr>
            </w:pPr>
            <w:r>
              <w:rPr>
                <w:rFonts w:ascii="仿宋_GB2312" w:hAnsi="仿宋_GB2312" w:eastAsia="仿宋_GB2312" w:cs="仿宋_GB2312"/>
                <w:color w:val="000000"/>
                <w:sz w:val="24"/>
                <w:highlight w:val="none"/>
              </w:rPr>
              <w:t>前台报修</w:t>
            </w:r>
          </w:p>
        </w:tc>
        <w:tc>
          <w:tcPr>
            <w:tcW w:w="2430" w:type="dxa"/>
            <w:vMerge w:val="restart"/>
            <w:tcBorders>
              <w:top w:val="nil"/>
              <w:left w:val="nil"/>
              <w:bottom w:val="single" w:color="000000" w:sz="4" w:space="0"/>
              <w:right w:val="single" w:color="000000" w:sz="4" w:space="0"/>
            </w:tcBorders>
            <w:tcMar>
              <w:top w:w="0" w:type="dxa"/>
              <w:left w:w="105" w:type="dxa"/>
              <w:bottom w:w="0" w:type="dxa"/>
              <w:right w:w="105" w:type="dxa"/>
            </w:tcMar>
            <w:vAlign w:val="top"/>
          </w:tcPr>
          <w:p w14:paraId="59CEC5AB">
            <w:pPr>
              <w:pStyle w:val="4"/>
              <w:jc w:val="left"/>
              <w:rPr>
                <w:highlight w:val="none"/>
              </w:rPr>
            </w:pPr>
            <w:r>
              <w:rPr>
                <w:rFonts w:ascii="仿宋_GB2312" w:hAnsi="仿宋_GB2312" w:eastAsia="仿宋_GB2312" w:cs="仿宋_GB2312"/>
                <w:color w:val="000000"/>
                <w:sz w:val="24"/>
                <w:highlight w:val="none"/>
              </w:rPr>
              <w:t>负责公共事务管理、投诉处理、节能管理、文件处理、档案管理、人事管理、登记报修、与施工单位联系、跟踪维修进度、回访等办公事务性工作。</w:t>
            </w:r>
          </w:p>
        </w:tc>
        <w:tc>
          <w:tcPr>
            <w:tcW w:w="2380" w:type="dxa"/>
            <w:vMerge w:val="restart"/>
            <w:tcBorders>
              <w:top w:val="nil"/>
              <w:left w:val="nil"/>
              <w:bottom w:val="single" w:color="000000" w:sz="4" w:space="0"/>
              <w:right w:val="single" w:color="000000" w:sz="4" w:space="0"/>
            </w:tcBorders>
            <w:tcMar>
              <w:top w:w="0" w:type="dxa"/>
              <w:left w:w="105" w:type="dxa"/>
              <w:bottom w:w="0" w:type="dxa"/>
              <w:right w:w="105" w:type="dxa"/>
            </w:tcMar>
            <w:vAlign w:val="top"/>
          </w:tcPr>
          <w:p w14:paraId="4CA31D0F">
            <w:pPr>
              <w:pStyle w:val="4"/>
              <w:jc w:val="left"/>
              <w:rPr>
                <w:highlight w:val="none"/>
              </w:rPr>
            </w:pPr>
            <w:r>
              <w:rPr>
                <w:rFonts w:ascii="仿宋_GB2312" w:hAnsi="仿宋_GB2312" w:eastAsia="仿宋_GB2312" w:cs="仿宋_GB2312"/>
                <w:color w:val="000000"/>
                <w:sz w:val="24"/>
                <w:highlight w:val="none"/>
              </w:rPr>
              <w:t>形象气质良好，仪表端庄，年龄不满41周岁，有2年以上工作经验，服务意识强，熟悉计算机，具有较好的文字处理能力。身体健康。无刑事违法犯罪记录。</w:t>
            </w:r>
          </w:p>
        </w:tc>
      </w:tr>
      <w:tr w14:paraId="5BA04F3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5F79F1E7">
            <w:pPr>
              <w:rPr>
                <w:highlight w:val="none"/>
              </w:rPr>
            </w:pPr>
          </w:p>
        </w:tc>
        <w:tc>
          <w:tcPr>
            <w:tcW w:w="701" w:type="dxa"/>
            <w:vMerge w:val="continue"/>
            <w:tcBorders>
              <w:top w:val="nil"/>
              <w:left w:val="nil"/>
              <w:bottom w:val="single" w:color="000000" w:sz="4" w:space="0"/>
              <w:right w:val="single" w:color="000000" w:sz="4" w:space="0"/>
            </w:tcBorders>
          </w:tcPr>
          <w:p w14:paraId="21C84B5C">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2C1F27C8">
            <w:pPr>
              <w:pStyle w:val="4"/>
              <w:jc w:val="left"/>
              <w:rPr>
                <w:highlight w:val="none"/>
              </w:rPr>
            </w:pPr>
            <w:r>
              <w:rPr>
                <w:rFonts w:ascii="仿宋_GB2312" w:hAnsi="仿宋_GB2312" w:eastAsia="仿宋_GB2312" w:cs="仿宋_GB2312"/>
                <w:color w:val="000000"/>
                <w:sz w:val="24"/>
                <w:highlight w:val="none"/>
              </w:rPr>
              <w:t>前台人事</w:t>
            </w:r>
          </w:p>
        </w:tc>
        <w:tc>
          <w:tcPr>
            <w:tcW w:w="2430" w:type="dxa"/>
            <w:vMerge w:val="continue"/>
            <w:tcBorders>
              <w:top w:val="nil"/>
              <w:left w:val="nil"/>
              <w:bottom w:val="single" w:color="000000" w:sz="4" w:space="0"/>
              <w:right w:val="single" w:color="000000" w:sz="4" w:space="0"/>
            </w:tcBorders>
          </w:tcPr>
          <w:p w14:paraId="107B6910">
            <w:pPr>
              <w:rPr>
                <w:highlight w:val="none"/>
              </w:rPr>
            </w:pPr>
          </w:p>
        </w:tc>
        <w:tc>
          <w:tcPr>
            <w:tcW w:w="2380" w:type="dxa"/>
            <w:vMerge w:val="continue"/>
            <w:tcBorders>
              <w:top w:val="nil"/>
              <w:left w:val="nil"/>
              <w:bottom w:val="single" w:color="000000" w:sz="4" w:space="0"/>
              <w:right w:val="single" w:color="000000" w:sz="4" w:space="0"/>
            </w:tcBorders>
          </w:tcPr>
          <w:p w14:paraId="14695785">
            <w:pPr>
              <w:rPr>
                <w:highlight w:val="none"/>
              </w:rPr>
            </w:pPr>
          </w:p>
        </w:tc>
      </w:tr>
      <w:tr w14:paraId="2C4E088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7F7EA285">
            <w:pPr>
              <w:rPr>
                <w:highlight w:val="none"/>
              </w:rPr>
            </w:pPr>
          </w:p>
        </w:tc>
        <w:tc>
          <w:tcPr>
            <w:tcW w:w="701" w:type="dxa"/>
            <w:vMerge w:val="continue"/>
            <w:tcBorders>
              <w:top w:val="nil"/>
              <w:left w:val="nil"/>
              <w:bottom w:val="single" w:color="000000" w:sz="4" w:space="0"/>
              <w:right w:val="single" w:color="000000" w:sz="4" w:space="0"/>
            </w:tcBorders>
          </w:tcPr>
          <w:p w14:paraId="2AEBBB07">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65501B8B">
            <w:pPr>
              <w:pStyle w:val="4"/>
              <w:jc w:val="left"/>
              <w:rPr>
                <w:highlight w:val="none"/>
              </w:rPr>
            </w:pPr>
            <w:r>
              <w:rPr>
                <w:rFonts w:ascii="仿宋_GB2312" w:hAnsi="仿宋_GB2312" w:eastAsia="仿宋_GB2312" w:cs="仿宋_GB2312"/>
                <w:color w:val="000000"/>
                <w:sz w:val="24"/>
                <w:highlight w:val="none"/>
              </w:rPr>
              <w:t>前台仓管</w:t>
            </w:r>
          </w:p>
        </w:tc>
        <w:tc>
          <w:tcPr>
            <w:tcW w:w="2430" w:type="dxa"/>
            <w:vMerge w:val="continue"/>
            <w:tcBorders>
              <w:top w:val="nil"/>
              <w:left w:val="nil"/>
              <w:bottom w:val="single" w:color="000000" w:sz="4" w:space="0"/>
              <w:right w:val="single" w:color="000000" w:sz="4" w:space="0"/>
            </w:tcBorders>
          </w:tcPr>
          <w:p w14:paraId="31587EE8">
            <w:pPr>
              <w:rPr>
                <w:highlight w:val="none"/>
              </w:rPr>
            </w:pPr>
          </w:p>
        </w:tc>
        <w:tc>
          <w:tcPr>
            <w:tcW w:w="2380" w:type="dxa"/>
            <w:vMerge w:val="continue"/>
            <w:tcBorders>
              <w:top w:val="nil"/>
              <w:left w:val="nil"/>
              <w:bottom w:val="single" w:color="000000" w:sz="4" w:space="0"/>
              <w:right w:val="single" w:color="000000" w:sz="4" w:space="0"/>
            </w:tcBorders>
          </w:tcPr>
          <w:p w14:paraId="453547EB">
            <w:pPr>
              <w:rPr>
                <w:highlight w:val="none"/>
              </w:rPr>
            </w:pPr>
          </w:p>
        </w:tc>
      </w:tr>
      <w:tr w14:paraId="70FF540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restart"/>
            <w:tcBorders>
              <w:top w:val="nil"/>
              <w:left w:val="single" w:color="000000" w:sz="4" w:space="0"/>
              <w:bottom w:val="single" w:color="000000" w:sz="4" w:space="0"/>
              <w:right w:val="single" w:color="000000" w:sz="4" w:space="0"/>
            </w:tcBorders>
            <w:shd w:val="clear" w:color="auto" w:fill="FFFFFF"/>
            <w:tcMar>
              <w:top w:w="0" w:type="dxa"/>
              <w:left w:w="105" w:type="dxa"/>
              <w:bottom w:w="0" w:type="dxa"/>
              <w:right w:w="105" w:type="dxa"/>
            </w:tcMar>
            <w:vAlign w:val="top"/>
          </w:tcPr>
          <w:p w14:paraId="65D9D725">
            <w:pPr>
              <w:pStyle w:val="4"/>
              <w:jc w:val="left"/>
              <w:rPr>
                <w:highlight w:val="none"/>
              </w:rPr>
            </w:pPr>
            <w:r>
              <w:rPr>
                <w:rFonts w:ascii="仿宋_GB2312" w:hAnsi="仿宋_GB2312" w:eastAsia="仿宋_GB2312" w:cs="仿宋_GB2312"/>
                <w:color w:val="000000"/>
                <w:sz w:val="24"/>
                <w:highlight w:val="none"/>
              </w:rPr>
              <w:t>会务人员</w:t>
            </w:r>
          </w:p>
        </w:tc>
        <w:tc>
          <w:tcPr>
            <w:tcW w:w="701" w:type="dxa"/>
            <w:vMerge w:val="restart"/>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126C5F59">
            <w:pPr>
              <w:pStyle w:val="4"/>
              <w:jc w:val="center"/>
              <w:rPr>
                <w:highlight w:val="none"/>
              </w:rPr>
            </w:pPr>
            <w:r>
              <w:rPr>
                <w:rFonts w:ascii="仿宋_GB2312" w:hAnsi="仿宋_GB2312" w:eastAsia="仿宋_GB2312" w:cs="仿宋_GB2312"/>
                <w:color w:val="000000"/>
                <w:sz w:val="24"/>
                <w:highlight w:val="none"/>
              </w:rPr>
              <w:t>4</w:t>
            </w: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7CB86B27">
            <w:pPr>
              <w:pStyle w:val="4"/>
              <w:jc w:val="left"/>
              <w:rPr>
                <w:highlight w:val="none"/>
              </w:rPr>
            </w:pPr>
            <w:r>
              <w:rPr>
                <w:rFonts w:ascii="仿宋_GB2312" w:hAnsi="仿宋_GB2312" w:eastAsia="仿宋_GB2312" w:cs="仿宋_GB2312"/>
                <w:color w:val="000000"/>
                <w:sz w:val="24"/>
                <w:highlight w:val="none"/>
              </w:rPr>
              <w:t>福道园会务人员</w:t>
            </w:r>
          </w:p>
        </w:tc>
        <w:tc>
          <w:tcPr>
            <w:tcW w:w="2430" w:type="dxa"/>
            <w:vMerge w:val="restart"/>
            <w:tcBorders>
              <w:top w:val="nil"/>
              <w:left w:val="nil"/>
              <w:bottom w:val="single" w:color="000000" w:sz="4" w:space="0"/>
              <w:right w:val="single" w:color="000000" w:sz="4" w:space="0"/>
            </w:tcBorders>
            <w:tcMar>
              <w:top w:w="0" w:type="dxa"/>
              <w:left w:w="105" w:type="dxa"/>
              <w:bottom w:w="0" w:type="dxa"/>
              <w:right w:w="105" w:type="dxa"/>
            </w:tcMar>
            <w:vAlign w:val="top"/>
          </w:tcPr>
          <w:p w14:paraId="618DC65A">
            <w:pPr>
              <w:pStyle w:val="4"/>
              <w:jc w:val="left"/>
              <w:rPr>
                <w:highlight w:val="none"/>
              </w:rPr>
            </w:pPr>
            <w:r>
              <w:rPr>
                <w:highlight w:val="none"/>
              </w:rPr>
              <w:br w:type="textWrapping"/>
            </w:r>
            <w:r>
              <w:rPr>
                <w:rFonts w:ascii="仿宋_GB2312" w:hAnsi="仿宋_GB2312" w:eastAsia="仿宋_GB2312" w:cs="仿宋_GB2312"/>
                <w:color w:val="000000"/>
                <w:sz w:val="24"/>
                <w:highlight w:val="none"/>
              </w:rPr>
              <w:t>负责行政会议室、报告厅会务服务。</w:t>
            </w:r>
          </w:p>
        </w:tc>
        <w:tc>
          <w:tcPr>
            <w:tcW w:w="2380" w:type="dxa"/>
            <w:vMerge w:val="restart"/>
            <w:tcBorders>
              <w:top w:val="nil"/>
              <w:left w:val="nil"/>
              <w:bottom w:val="single" w:color="000000" w:sz="4" w:space="0"/>
              <w:right w:val="single" w:color="000000" w:sz="4" w:space="0"/>
            </w:tcBorders>
            <w:tcMar>
              <w:top w:w="0" w:type="dxa"/>
              <w:left w:w="105" w:type="dxa"/>
              <w:bottom w:w="0" w:type="dxa"/>
              <w:right w:w="105" w:type="dxa"/>
            </w:tcMar>
            <w:vAlign w:val="top"/>
          </w:tcPr>
          <w:p w14:paraId="6A470BD0">
            <w:pPr>
              <w:pStyle w:val="4"/>
              <w:jc w:val="left"/>
              <w:rPr>
                <w:highlight w:val="none"/>
              </w:rPr>
            </w:pPr>
            <w:r>
              <w:rPr>
                <w:rFonts w:ascii="仿宋_GB2312" w:hAnsi="仿宋_GB2312" w:eastAsia="仿宋_GB2312" w:cs="仿宋_GB2312"/>
                <w:color w:val="000000"/>
                <w:sz w:val="24"/>
                <w:highlight w:val="none"/>
              </w:rPr>
              <w:t>女性，年龄不满36周岁，具备2年以上会务工作经历，身体健康，工作认真负责，言行举止文明大方，具有良好的沟通协调能力并定期接受培训；身体健康。无刑事违法犯罪记录。</w:t>
            </w:r>
          </w:p>
        </w:tc>
      </w:tr>
      <w:tr w14:paraId="73133BD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2EA2BA57">
            <w:pPr>
              <w:rPr>
                <w:highlight w:val="none"/>
              </w:rPr>
            </w:pPr>
          </w:p>
        </w:tc>
        <w:tc>
          <w:tcPr>
            <w:tcW w:w="701" w:type="dxa"/>
            <w:vMerge w:val="continue"/>
            <w:tcBorders>
              <w:top w:val="nil"/>
              <w:left w:val="nil"/>
              <w:bottom w:val="single" w:color="000000" w:sz="4" w:space="0"/>
              <w:right w:val="single" w:color="000000" w:sz="4" w:space="0"/>
            </w:tcBorders>
          </w:tcPr>
          <w:p w14:paraId="167F8C28">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4D95F8EF">
            <w:pPr>
              <w:pStyle w:val="4"/>
              <w:jc w:val="left"/>
              <w:rPr>
                <w:highlight w:val="none"/>
              </w:rPr>
            </w:pPr>
            <w:r>
              <w:rPr>
                <w:rFonts w:ascii="仿宋_GB2312" w:hAnsi="仿宋_GB2312" w:eastAsia="仿宋_GB2312" w:cs="仿宋_GB2312"/>
                <w:color w:val="000000"/>
                <w:sz w:val="24"/>
                <w:highlight w:val="none"/>
              </w:rPr>
              <w:t>福道园会务人员</w:t>
            </w:r>
          </w:p>
        </w:tc>
        <w:tc>
          <w:tcPr>
            <w:tcW w:w="2430" w:type="dxa"/>
            <w:vMerge w:val="continue"/>
            <w:tcBorders>
              <w:top w:val="nil"/>
              <w:left w:val="nil"/>
              <w:bottom w:val="single" w:color="000000" w:sz="4" w:space="0"/>
              <w:right w:val="single" w:color="000000" w:sz="4" w:space="0"/>
            </w:tcBorders>
          </w:tcPr>
          <w:p w14:paraId="634866F1">
            <w:pPr>
              <w:rPr>
                <w:highlight w:val="none"/>
              </w:rPr>
            </w:pPr>
          </w:p>
        </w:tc>
        <w:tc>
          <w:tcPr>
            <w:tcW w:w="2380" w:type="dxa"/>
            <w:vMerge w:val="continue"/>
            <w:tcBorders>
              <w:top w:val="nil"/>
              <w:left w:val="nil"/>
              <w:bottom w:val="single" w:color="000000" w:sz="4" w:space="0"/>
              <w:right w:val="single" w:color="000000" w:sz="4" w:space="0"/>
            </w:tcBorders>
          </w:tcPr>
          <w:p w14:paraId="6A999CDC">
            <w:pPr>
              <w:rPr>
                <w:highlight w:val="none"/>
              </w:rPr>
            </w:pPr>
          </w:p>
        </w:tc>
      </w:tr>
      <w:tr w14:paraId="4CFF551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4FD767E9">
            <w:pPr>
              <w:rPr>
                <w:highlight w:val="none"/>
              </w:rPr>
            </w:pPr>
          </w:p>
        </w:tc>
        <w:tc>
          <w:tcPr>
            <w:tcW w:w="701" w:type="dxa"/>
            <w:vMerge w:val="continue"/>
            <w:tcBorders>
              <w:top w:val="nil"/>
              <w:left w:val="nil"/>
              <w:bottom w:val="single" w:color="000000" w:sz="4" w:space="0"/>
              <w:right w:val="single" w:color="000000" w:sz="4" w:space="0"/>
            </w:tcBorders>
          </w:tcPr>
          <w:p w14:paraId="314E4E41">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757F7F6E">
            <w:pPr>
              <w:pStyle w:val="4"/>
              <w:jc w:val="left"/>
              <w:rPr>
                <w:highlight w:val="none"/>
              </w:rPr>
            </w:pPr>
            <w:r>
              <w:rPr>
                <w:rFonts w:ascii="仿宋_GB2312" w:hAnsi="仿宋_GB2312" w:eastAsia="仿宋_GB2312" w:cs="仿宋_GB2312"/>
                <w:color w:val="000000"/>
                <w:sz w:val="24"/>
                <w:highlight w:val="none"/>
              </w:rPr>
              <w:t>福船园会务人员</w:t>
            </w:r>
          </w:p>
        </w:tc>
        <w:tc>
          <w:tcPr>
            <w:tcW w:w="2430" w:type="dxa"/>
            <w:vMerge w:val="continue"/>
            <w:tcBorders>
              <w:top w:val="nil"/>
              <w:left w:val="nil"/>
              <w:bottom w:val="single" w:color="000000" w:sz="4" w:space="0"/>
              <w:right w:val="single" w:color="000000" w:sz="4" w:space="0"/>
            </w:tcBorders>
          </w:tcPr>
          <w:p w14:paraId="54061779">
            <w:pPr>
              <w:rPr>
                <w:highlight w:val="none"/>
              </w:rPr>
            </w:pPr>
          </w:p>
        </w:tc>
        <w:tc>
          <w:tcPr>
            <w:tcW w:w="2380" w:type="dxa"/>
            <w:vMerge w:val="continue"/>
            <w:tcBorders>
              <w:top w:val="nil"/>
              <w:left w:val="nil"/>
              <w:bottom w:val="single" w:color="000000" w:sz="4" w:space="0"/>
              <w:right w:val="single" w:color="000000" w:sz="4" w:space="0"/>
            </w:tcBorders>
          </w:tcPr>
          <w:p w14:paraId="2540E8C4">
            <w:pPr>
              <w:rPr>
                <w:highlight w:val="none"/>
              </w:rPr>
            </w:pPr>
          </w:p>
        </w:tc>
      </w:tr>
      <w:tr w14:paraId="542A275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55E406A7">
            <w:pPr>
              <w:rPr>
                <w:highlight w:val="none"/>
              </w:rPr>
            </w:pPr>
          </w:p>
        </w:tc>
        <w:tc>
          <w:tcPr>
            <w:tcW w:w="701" w:type="dxa"/>
            <w:vMerge w:val="continue"/>
            <w:tcBorders>
              <w:top w:val="nil"/>
              <w:left w:val="nil"/>
              <w:bottom w:val="single" w:color="000000" w:sz="4" w:space="0"/>
              <w:right w:val="single" w:color="000000" w:sz="4" w:space="0"/>
            </w:tcBorders>
          </w:tcPr>
          <w:p w14:paraId="1CD6B36A">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7605CE79">
            <w:pPr>
              <w:pStyle w:val="4"/>
              <w:jc w:val="left"/>
              <w:rPr>
                <w:highlight w:val="none"/>
              </w:rPr>
            </w:pPr>
            <w:r>
              <w:rPr>
                <w:rFonts w:ascii="仿宋_GB2312" w:hAnsi="仿宋_GB2312" w:eastAsia="仿宋_GB2312" w:cs="仿宋_GB2312"/>
                <w:color w:val="000000"/>
                <w:sz w:val="24"/>
                <w:highlight w:val="none"/>
              </w:rPr>
              <w:t>福船园会务人员</w:t>
            </w:r>
          </w:p>
        </w:tc>
        <w:tc>
          <w:tcPr>
            <w:tcW w:w="2430" w:type="dxa"/>
            <w:vMerge w:val="continue"/>
            <w:tcBorders>
              <w:top w:val="nil"/>
              <w:left w:val="nil"/>
              <w:bottom w:val="single" w:color="000000" w:sz="4" w:space="0"/>
              <w:right w:val="single" w:color="000000" w:sz="4" w:space="0"/>
            </w:tcBorders>
          </w:tcPr>
          <w:p w14:paraId="091E42D5">
            <w:pPr>
              <w:rPr>
                <w:highlight w:val="none"/>
              </w:rPr>
            </w:pPr>
          </w:p>
        </w:tc>
        <w:tc>
          <w:tcPr>
            <w:tcW w:w="2380" w:type="dxa"/>
            <w:vMerge w:val="continue"/>
            <w:tcBorders>
              <w:top w:val="nil"/>
              <w:left w:val="nil"/>
              <w:bottom w:val="single" w:color="000000" w:sz="4" w:space="0"/>
              <w:right w:val="single" w:color="000000" w:sz="4" w:space="0"/>
            </w:tcBorders>
          </w:tcPr>
          <w:p w14:paraId="0A7AB88B">
            <w:pPr>
              <w:rPr>
                <w:highlight w:val="none"/>
              </w:rPr>
            </w:pPr>
          </w:p>
        </w:tc>
      </w:tr>
      <w:tr w14:paraId="449B94D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restart"/>
            <w:tcBorders>
              <w:top w:val="nil"/>
              <w:left w:val="single" w:color="000000" w:sz="4" w:space="0"/>
              <w:bottom w:val="single" w:color="000000" w:sz="4" w:space="0"/>
              <w:right w:val="single" w:color="000000" w:sz="4" w:space="0"/>
            </w:tcBorders>
            <w:shd w:val="clear" w:color="auto" w:fill="FFFFFF"/>
            <w:tcMar>
              <w:top w:w="0" w:type="dxa"/>
              <w:left w:w="105" w:type="dxa"/>
              <w:bottom w:w="0" w:type="dxa"/>
              <w:right w:w="105" w:type="dxa"/>
            </w:tcMar>
            <w:vAlign w:val="top"/>
          </w:tcPr>
          <w:p w14:paraId="736EB30A">
            <w:pPr>
              <w:pStyle w:val="4"/>
              <w:jc w:val="left"/>
              <w:rPr>
                <w:highlight w:val="none"/>
              </w:rPr>
            </w:pPr>
            <w:r>
              <w:rPr>
                <w:rFonts w:ascii="仿宋_GB2312" w:hAnsi="仿宋_GB2312" w:eastAsia="仿宋_GB2312" w:cs="仿宋_GB2312"/>
                <w:color w:val="000000"/>
                <w:sz w:val="24"/>
                <w:highlight w:val="none"/>
              </w:rPr>
              <w:t>电梯安全员</w:t>
            </w:r>
          </w:p>
        </w:tc>
        <w:tc>
          <w:tcPr>
            <w:tcW w:w="701" w:type="dxa"/>
            <w:vMerge w:val="restart"/>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3DD1B801">
            <w:pPr>
              <w:pStyle w:val="4"/>
              <w:jc w:val="center"/>
              <w:rPr>
                <w:highlight w:val="none"/>
              </w:rPr>
            </w:pPr>
            <w:r>
              <w:rPr>
                <w:rFonts w:ascii="仿宋_GB2312" w:hAnsi="仿宋_GB2312" w:eastAsia="仿宋_GB2312" w:cs="仿宋_GB2312"/>
                <w:color w:val="000000"/>
                <w:sz w:val="24"/>
                <w:highlight w:val="none"/>
              </w:rPr>
              <w:t>2</w:t>
            </w: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3EE114D1">
            <w:pPr>
              <w:pStyle w:val="4"/>
              <w:jc w:val="left"/>
              <w:rPr>
                <w:highlight w:val="none"/>
              </w:rPr>
            </w:pPr>
            <w:r>
              <w:rPr>
                <w:rFonts w:ascii="仿宋_GB2312" w:hAnsi="仿宋_GB2312" w:eastAsia="仿宋_GB2312" w:cs="仿宋_GB2312"/>
                <w:color w:val="000000"/>
                <w:sz w:val="24"/>
                <w:highlight w:val="none"/>
              </w:rPr>
              <w:t>电梯安全员</w:t>
            </w:r>
          </w:p>
        </w:tc>
        <w:tc>
          <w:tcPr>
            <w:tcW w:w="2430" w:type="dxa"/>
            <w:vMerge w:val="restart"/>
            <w:tcBorders>
              <w:top w:val="nil"/>
              <w:left w:val="nil"/>
              <w:bottom w:val="single" w:color="000000" w:sz="4" w:space="0"/>
              <w:right w:val="single" w:color="000000" w:sz="4" w:space="0"/>
            </w:tcBorders>
            <w:tcMar>
              <w:top w:w="0" w:type="dxa"/>
              <w:left w:w="105" w:type="dxa"/>
              <w:bottom w:w="0" w:type="dxa"/>
              <w:right w:w="105" w:type="dxa"/>
            </w:tcMar>
            <w:vAlign w:val="top"/>
          </w:tcPr>
          <w:p w14:paraId="5B141C11">
            <w:pPr>
              <w:pStyle w:val="4"/>
              <w:jc w:val="left"/>
              <w:rPr>
                <w:highlight w:val="none"/>
              </w:rPr>
            </w:pPr>
            <w:r>
              <w:rPr>
                <w:rFonts w:ascii="仿宋_GB2312" w:hAnsi="仿宋_GB2312" w:eastAsia="仿宋_GB2312" w:cs="仿宋_GB2312"/>
                <w:color w:val="000000"/>
                <w:sz w:val="24"/>
                <w:highlight w:val="none"/>
              </w:rPr>
              <w:t>1、日常巡查：记录电梯的运行数据和巡查情况， 确保电梯处于良好状态。</w:t>
            </w:r>
            <w:r>
              <w:rPr>
                <w:highlight w:val="none"/>
              </w:rPr>
              <w:br w:type="textWrapping"/>
            </w:r>
            <w:r>
              <w:rPr>
                <w:rFonts w:ascii="仿宋_GB2312" w:hAnsi="仿宋_GB2312" w:eastAsia="仿宋_GB2312" w:cs="仿宋_GB2312"/>
                <w:color w:val="000000"/>
                <w:sz w:val="24"/>
                <w:highlight w:val="none"/>
              </w:rPr>
              <w:t>2、故障处理：及时响应电梯故障报告 ，进行现场 勘查和故障排除，对于无法立即解决的问题，及时通知电梯维保单位进行维修。</w:t>
            </w:r>
            <w:r>
              <w:rPr>
                <w:highlight w:val="none"/>
              </w:rPr>
              <w:br w:type="textWrapping"/>
            </w:r>
            <w:r>
              <w:rPr>
                <w:rFonts w:ascii="仿宋_GB2312" w:hAnsi="仿宋_GB2312" w:eastAsia="仿宋_GB2312" w:cs="仿宋_GB2312"/>
                <w:color w:val="000000"/>
                <w:sz w:val="24"/>
                <w:highlight w:val="none"/>
              </w:rPr>
              <w:t>3、协调电梯维保单位进行维护保养工作，监督维保质量。</w:t>
            </w:r>
            <w:r>
              <w:rPr>
                <w:highlight w:val="none"/>
              </w:rPr>
              <w:br w:type="textWrapping"/>
            </w:r>
            <w:r>
              <w:rPr>
                <w:rFonts w:ascii="仿宋_GB2312" w:hAnsi="仿宋_GB2312" w:eastAsia="仿宋_GB2312" w:cs="仿宋_GB2312"/>
                <w:color w:val="000000"/>
                <w:sz w:val="24"/>
                <w:highlight w:val="none"/>
              </w:rPr>
              <w:t>4、做好电梯的维护保养、运行情况、故障处理等信息记录。</w:t>
            </w:r>
          </w:p>
        </w:tc>
        <w:tc>
          <w:tcPr>
            <w:tcW w:w="2380" w:type="dxa"/>
            <w:vMerge w:val="restart"/>
            <w:tcBorders>
              <w:top w:val="nil"/>
              <w:left w:val="nil"/>
              <w:bottom w:val="single" w:color="000000" w:sz="4" w:space="0"/>
              <w:right w:val="single" w:color="000000" w:sz="4" w:space="0"/>
            </w:tcBorders>
            <w:tcMar>
              <w:top w:w="0" w:type="dxa"/>
              <w:left w:w="105" w:type="dxa"/>
              <w:bottom w:w="0" w:type="dxa"/>
              <w:right w:w="105" w:type="dxa"/>
            </w:tcMar>
            <w:vAlign w:val="top"/>
          </w:tcPr>
          <w:p w14:paraId="0D15BB96">
            <w:pPr>
              <w:pStyle w:val="4"/>
              <w:jc w:val="left"/>
              <w:rPr>
                <w:highlight w:val="none"/>
              </w:rPr>
            </w:pPr>
            <w:r>
              <w:rPr>
                <w:rFonts w:ascii="仿宋_GB2312" w:hAnsi="仿宋_GB2312" w:eastAsia="仿宋_GB2312" w:cs="仿宋_GB2312"/>
                <w:color w:val="000000"/>
                <w:sz w:val="24"/>
                <w:highlight w:val="none"/>
              </w:rPr>
              <w:t>有2年以上工作经验。持有行政部门颁发的特种设备安全管理A证。身体健康。无刑事违法犯罪记录</w:t>
            </w:r>
          </w:p>
        </w:tc>
      </w:tr>
      <w:tr w14:paraId="3DAF54C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222E7ABB">
            <w:pPr>
              <w:rPr>
                <w:highlight w:val="none"/>
              </w:rPr>
            </w:pPr>
          </w:p>
        </w:tc>
        <w:tc>
          <w:tcPr>
            <w:tcW w:w="701" w:type="dxa"/>
            <w:vMerge w:val="continue"/>
            <w:tcBorders>
              <w:top w:val="nil"/>
              <w:left w:val="nil"/>
              <w:bottom w:val="single" w:color="000000" w:sz="4" w:space="0"/>
              <w:right w:val="single" w:color="000000" w:sz="4" w:space="0"/>
            </w:tcBorders>
          </w:tcPr>
          <w:p w14:paraId="2F40CD82">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67ABC437">
            <w:pPr>
              <w:pStyle w:val="4"/>
              <w:jc w:val="left"/>
              <w:rPr>
                <w:highlight w:val="none"/>
              </w:rPr>
            </w:pPr>
            <w:r>
              <w:rPr>
                <w:rFonts w:ascii="仿宋_GB2312" w:hAnsi="仿宋_GB2312" w:eastAsia="仿宋_GB2312" w:cs="仿宋_GB2312"/>
                <w:color w:val="000000"/>
                <w:sz w:val="24"/>
                <w:highlight w:val="none"/>
              </w:rPr>
              <w:t>电梯安全员</w:t>
            </w:r>
          </w:p>
        </w:tc>
        <w:tc>
          <w:tcPr>
            <w:tcW w:w="2430" w:type="dxa"/>
            <w:vMerge w:val="continue"/>
            <w:tcBorders>
              <w:top w:val="nil"/>
              <w:left w:val="nil"/>
              <w:bottom w:val="single" w:color="000000" w:sz="4" w:space="0"/>
              <w:right w:val="single" w:color="000000" w:sz="4" w:space="0"/>
            </w:tcBorders>
          </w:tcPr>
          <w:p w14:paraId="5D19689F">
            <w:pPr>
              <w:rPr>
                <w:highlight w:val="none"/>
              </w:rPr>
            </w:pPr>
          </w:p>
        </w:tc>
        <w:tc>
          <w:tcPr>
            <w:tcW w:w="2380" w:type="dxa"/>
            <w:vMerge w:val="continue"/>
            <w:tcBorders>
              <w:top w:val="nil"/>
              <w:left w:val="nil"/>
              <w:bottom w:val="single" w:color="000000" w:sz="4" w:space="0"/>
              <w:right w:val="single" w:color="000000" w:sz="4" w:space="0"/>
            </w:tcBorders>
          </w:tcPr>
          <w:p w14:paraId="3F9E1958">
            <w:pPr>
              <w:rPr>
                <w:highlight w:val="none"/>
              </w:rPr>
            </w:pPr>
          </w:p>
        </w:tc>
      </w:tr>
      <w:tr w14:paraId="2176829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F01ED82">
            <w:pPr>
              <w:pStyle w:val="4"/>
              <w:jc w:val="left"/>
              <w:rPr>
                <w:highlight w:val="none"/>
              </w:rPr>
            </w:pPr>
            <w:r>
              <w:rPr>
                <w:rFonts w:ascii="仿宋_GB2312" w:hAnsi="仿宋_GB2312" w:eastAsia="仿宋_GB2312" w:cs="仿宋_GB2312"/>
                <w:color w:val="000000"/>
                <w:sz w:val="24"/>
                <w:highlight w:val="none"/>
              </w:rPr>
              <w:t>室内管道疏通人员</w:t>
            </w:r>
          </w:p>
        </w:tc>
        <w:tc>
          <w:tcPr>
            <w:tcW w:w="701" w:type="dxa"/>
            <w:tcBorders>
              <w:top w:val="nil"/>
              <w:left w:val="nil"/>
              <w:bottom w:val="single" w:color="000000" w:sz="4" w:space="0"/>
              <w:right w:val="single" w:color="000000" w:sz="4" w:space="0"/>
            </w:tcBorders>
            <w:tcMar>
              <w:top w:w="0" w:type="dxa"/>
              <w:left w:w="105" w:type="dxa"/>
              <w:bottom w:w="0" w:type="dxa"/>
              <w:right w:w="105" w:type="dxa"/>
            </w:tcMar>
            <w:vAlign w:val="top"/>
          </w:tcPr>
          <w:p w14:paraId="2A28A825">
            <w:pPr>
              <w:pStyle w:val="4"/>
              <w:jc w:val="center"/>
              <w:rPr>
                <w:highlight w:val="none"/>
              </w:rPr>
            </w:pPr>
            <w:r>
              <w:rPr>
                <w:rFonts w:ascii="仿宋_GB2312" w:hAnsi="仿宋_GB2312" w:eastAsia="仿宋_GB2312" w:cs="仿宋_GB2312"/>
                <w:color w:val="000000"/>
                <w:sz w:val="24"/>
                <w:highlight w:val="none"/>
              </w:rPr>
              <w:t>1</w:t>
            </w: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0E804642">
            <w:pPr>
              <w:pStyle w:val="4"/>
              <w:jc w:val="left"/>
              <w:rPr>
                <w:highlight w:val="none"/>
              </w:rPr>
            </w:pPr>
            <w:r>
              <w:rPr>
                <w:rFonts w:ascii="仿宋_GB2312" w:hAnsi="仿宋_GB2312" w:eastAsia="仿宋_GB2312" w:cs="仿宋_GB2312"/>
                <w:color w:val="000000"/>
                <w:sz w:val="24"/>
                <w:highlight w:val="none"/>
              </w:rPr>
              <w:t>全校区室内疏通管道</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35CD5392">
            <w:pPr>
              <w:pStyle w:val="4"/>
              <w:jc w:val="left"/>
              <w:rPr>
                <w:highlight w:val="none"/>
              </w:rPr>
            </w:pPr>
            <w:r>
              <w:rPr>
                <w:rFonts w:ascii="仿宋_GB2312" w:hAnsi="仿宋_GB2312" w:eastAsia="仿宋_GB2312" w:cs="仿宋_GB2312"/>
                <w:color w:val="000000"/>
                <w:sz w:val="24"/>
                <w:highlight w:val="none"/>
              </w:rPr>
              <w:t>1、负责校区室内日常管道疏通工作：厕所堵塞、排水口堵塞、室内下水道堵塞问题，使用专业工具和方法进行疏通。30分钟内到场处理。</w:t>
            </w:r>
          </w:p>
        </w:tc>
        <w:tc>
          <w:tcPr>
            <w:tcW w:w="2380" w:type="dxa"/>
            <w:tcBorders>
              <w:top w:val="nil"/>
              <w:left w:val="nil"/>
              <w:bottom w:val="single" w:color="000000" w:sz="4" w:space="0"/>
              <w:right w:val="single" w:color="000000" w:sz="4" w:space="0"/>
            </w:tcBorders>
            <w:tcMar>
              <w:top w:w="0" w:type="dxa"/>
              <w:left w:w="105" w:type="dxa"/>
              <w:bottom w:w="0" w:type="dxa"/>
              <w:right w:w="105" w:type="dxa"/>
            </w:tcMar>
            <w:vAlign w:val="top"/>
          </w:tcPr>
          <w:p w14:paraId="03EDB8FE">
            <w:pPr>
              <w:pStyle w:val="4"/>
              <w:jc w:val="left"/>
              <w:rPr>
                <w:highlight w:val="none"/>
              </w:rPr>
            </w:pPr>
            <w:r>
              <w:rPr>
                <w:rFonts w:ascii="仿宋_GB2312" w:hAnsi="仿宋_GB2312" w:eastAsia="仿宋_GB2312" w:cs="仿宋_GB2312"/>
                <w:color w:val="000000"/>
                <w:sz w:val="24"/>
                <w:highlight w:val="none"/>
              </w:rPr>
              <w:t>有2年以上工作经验，吃苦耐劳，服务态度好。身体健康。无刑事违法犯罪记录。</w:t>
            </w:r>
          </w:p>
        </w:tc>
      </w:tr>
      <w:tr w14:paraId="1621138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9081578">
            <w:pPr>
              <w:pStyle w:val="4"/>
              <w:jc w:val="left"/>
              <w:rPr>
                <w:highlight w:val="none"/>
              </w:rPr>
            </w:pPr>
            <w:r>
              <w:rPr>
                <w:rFonts w:ascii="仿宋_GB2312" w:hAnsi="仿宋_GB2312" w:eastAsia="仿宋_GB2312" w:cs="仿宋_GB2312"/>
                <w:color w:val="000000"/>
                <w:sz w:val="24"/>
                <w:highlight w:val="none"/>
              </w:rPr>
              <w:t>木工</w:t>
            </w:r>
          </w:p>
        </w:tc>
        <w:tc>
          <w:tcPr>
            <w:tcW w:w="701" w:type="dxa"/>
            <w:tcBorders>
              <w:top w:val="nil"/>
              <w:left w:val="nil"/>
              <w:bottom w:val="single" w:color="000000" w:sz="4" w:space="0"/>
              <w:right w:val="single" w:color="000000" w:sz="4" w:space="0"/>
            </w:tcBorders>
            <w:tcMar>
              <w:top w:w="0" w:type="dxa"/>
              <w:left w:w="105" w:type="dxa"/>
              <w:bottom w:w="0" w:type="dxa"/>
              <w:right w:w="105" w:type="dxa"/>
            </w:tcMar>
            <w:vAlign w:val="top"/>
          </w:tcPr>
          <w:p w14:paraId="2363E3F9">
            <w:pPr>
              <w:pStyle w:val="4"/>
              <w:jc w:val="center"/>
              <w:rPr>
                <w:highlight w:val="none"/>
              </w:rPr>
            </w:pPr>
            <w:r>
              <w:rPr>
                <w:rFonts w:ascii="仿宋_GB2312" w:hAnsi="仿宋_GB2312" w:eastAsia="仿宋_GB2312" w:cs="仿宋_GB2312"/>
                <w:color w:val="000000"/>
                <w:sz w:val="24"/>
                <w:highlight w:val="none"/>
              </w:rPr>
              <w:t>1</w:t>
            </w: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6604B475">
            <w:pPr>
              <w:pStyle w:val="4"/>
              <w:jc w:val="left"/>
              <w:rPr>
                <w:highlight w:val="none"/>
              </w:rPr>
            </w:pPr>
            <w:r>
              <w:rPr>
                <w:rFonts w:ascii="仿宋_GB2312" w:hAnsi="仿宋_GB2312" w:eastAsia="仿宋_GB2312" w:cs="仿宋_GB2312"/>
                <w:color w:val="000000"/>
                <w:sz w:val="24"/>
                <w:highlight w:val="none"/>
              </w:rPr>
              <w:t>全校区木工</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2E203699">
            <w:pPr>
              <w:pStyle w:val="4"/>
              <w:jc w:val="left"/>
              <w:rPr>
                <w:highlight w:val="none"/>
              </w:rPr>
            </w:pPr>
            <w:r>
              <w:rPr>
                <w:rFonts w:ascii="仿宋_GB2312" w:hAnsi="仿宋_GB2312" w:eastAsia="仿宋_GB2312" w:cs="仿宋_GB2312"/>
                <w:color w:val="000000"/>
                <w:sz w:val="24"/>
                <w:highlight w:val="none"/>
              </w:rPr>
              <w:t>1、负责对物业区域内的木制品进行日常检查、维修。</w:t>
            </w:r>
            <w:r>
              <w:rPr>
                <w:highlight w:val="none"/>
              </w:rPr>
              <w:br w:type="textWrapping"/>
            </w:r>
            <w:r>
              <w:rPr>
                <w:rFonts w:ascii="仿宋_GB2312" w:hAnsi="仿宋_GB2312" w:eastAsia="仿宋_GB2312" w:cs="仿宋_GB2312"/>
                <w:color w:val="000000"/>
                <w:sz w:val="24"/>
                <w:highlight w:val="none"/>
              </w:rPr>
              <w:t>2、负责维修工作：包括门窗、家具（床架、木板、课桌、椅子、办公桌）、铁门，铁围栏的焊接。</w:t>
            </w:r>
          </w:p>
        </w:tc>
        <w:tc>
          <w:tcPr>
            <w:tcW w:w="2380" w:type="dxa"/>
            <w:tcBorders>
              <w:top w:val="nil"/>
              <w:left w:val="nil"/>
              <w:bottom w:val="single" w:color="000000" w:sz="4" w:space="0"/>
              <w:right w:val="single" w:color="000000" w:sz="4" w:space="0"/>
            </w:tcBorders>
            <w:tcMar>
              <w:top w:w="0" w:type="dxa"/>
              <w:left w:w="105" w:type="dxa"/>
              <w:bottom w:w="0" w:type="dxa"/>
              <w:right w:w="105" w:type="dxa"/>
            </w:tcMar>
            <w:vAlign w:val="top"/>
          </w:tcPr>
          <w:p w14:paraId="16C72FC9">
            <w:pPr>
              <w:pStyle w:val="4"/>
              <w:jc w:val="left"/>
              <w:rPr>
                <w:highlight w:val="none"/>
              </w:rPr>
            </w:pPr>
            <w:r>
              <w:rPr>
                <w:rFonts w:ascii="仿宋_GB2312" w:hAnsi="仿宋_GB2312" w:eastAsia="仿宋_GB2312" w:cs="仿宋_GB2312"/>
                <w:color w:val="000000"/>
                <w:sz w:val="24"/>
                <w:highlight w:val="none"/>
              </w:rPr>
              <w:t>有2年以上工作经验，吃苦耐劳、服务态度好。身体健康。无刑事违法犯罪记录。</w:t>
            </w:r>
          </w:p>
        </w:tc>
      </w:tr>
      <w:tr w14:paraId="40DB1EF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290E321">
            <w:pPr>
              <w:pStyle w:val="4"/>
              <w:jc w:val="left"/>
              <w:rPr>
                <w:highlight w:val="none"/>
              </w:rPr>
            </w:pPr>
            <w:r>
              <w:rPr>
                <w:rFonts w:ascii="仿宋_GB2312" w:hAnsi="仿宋_GB2312" w:eastAsia="仿宋_GB2312" w:cs="仿宋_GB2312"/>
                <w:color w:val="000000"/>
                <w:sz w:val="24"/>
                <w:highlight w:val="none"/>
              </w:rPr>
              <w:t>泥水工</w:t>
            </w:r>
          </w:p>
        </w:tc>
        <w:tc>
          <w:tcPr>
            <w:tcW w:w="701" w:type="dxa"/>
            <w:tcBorders>
              <w:top w:val="nil"/>
              <w:left w:val="nil"/>
              <w:bottom w:val="single" w:color="000000" w:sz="4" w:space="0"/>
              <w:right w:val="single" w:color="000000" w:sz="4" w:space="0"/>
            </w:tcBorders>
            <w:tcMar>
              <w:top w:w="0" w:type="dxa"/>
              <w:left w:w="105" w:type="dxa"/>
              <w:bottom w:w="0" w:type="dxa"/>
              <w:right w:w="105" w:type="dxa"/>
            </w:tcMar>
            <w:vAlign w:val="top"/>
          </w:tcPr>
          <w:p w14:paraId="01EA13A6">
            <w:pPr>
              <w:pStyle w:val="4"/>
              <w:jc w:val="center"/>
              <w:rPr>
                <w:highlight w:val="none"/>
              </w:rPr>
            </w:pPr>
            <w:r>
              <w:rPr>
                <w:rFonts w:ascii="仿宋_GB2312" w:hAnsi="仿宋_GB2312" w:eastAsia="仿宋_GB2312" w:cs="仿宋_GB2312"/>
                <w:color w:val="000000"/>
                <w:sz w:val="24"/>
                <w:highlight w:val="none"/>
              </w:rPr>
              <w:t>1</w:t>
            </w: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7B403F90">
            <w:pPr>
              <w:pStyle w:val="4"/>
              <w:jc w:val="left"/>
              <w:rPr>
                <w:highlight w:val="none"/>
              </w:rPr>
            </w:pPr>
            <w:r>
              <w:rPr>
                <w:rFonts w:ascii="仿宋_GB2312" w:hAnsi="仿宋_GB2312" w:eastAsia="仿宋_GB2312" w:cs="仿宋_GB2312"/>
                <w:color w:val="000000"/>
                <w:sz w:val="24"/>
                <w:highlight w:val="none"/>
              </w:rPr>
              <w:t>全校区土工</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50D7D562">
            <w:pPr>
              <w:pStyle w:val="4"/>
              <w:jc w:val="left"/>
              <w:rPr>
                <w:highlight w:val="none"/>
              </w:rPr>
            </w:pPr>
            <w:r>
              <w:rPr>
                <w:rFonts w:ascii="仿宋_GB2312" w:hAnsi="仿宋_GB2312" w:eastAsia="仿宋_GB2312" w:cs="仿宋_GB2312"/>
                <w:color w:val="000000"/>
                <w:sz w:val="24"/>
                <w:highlight w:val="none"/>
              </w:rPr>
              <w:t>1、负责全校区物业区域内的土建设施进行日常巡查，及时发现存在的问题和隐患。</w:t>
            </w:r>
            <w:r>
              <w:rPr>
                <w:highlight w:val="none"/>
              </w:rPr>
              <w:br w:type="textWrapping"/>
            </w:r>
            <w:r>
              <w:rPr>
                <w:rFonts w:ascii="仿宋_GB2312" w:hAnsi="仿宋_GB2312" w:eastAsia="仿宋_GB2312" w:cs="仿宋_GB2312"/>
                <w:color w:val="000000"/>
                <w:sz w:val="24"/>
                <w:highlight w:val="none"/>
              </w:rPr>
              <w:t>2、负责土建设施的维修工作：墙体、地面、屋顶、门窗、楼梯、排水沟井盖等部分的修补和加固。</w:t>
            </w:r>
          </w:p>
        </w:tc>
        <w:tc>
          <w:tcPr>
            <w:tcW w:w="2380" w:type="dxa"/>
            <w:tcBorders>
              <w:top w:val="nil"/>
              <w:left w:val="nil"/>
              <w:bottom w:val="single" w:color="000000" w:sz="4" w:space="0"/>
              <w:right w:val="single" w:color="000000" w:sz="4" w:space="0"/>
            </w:tcBorders>
            <w:tcMar>
              <w:top w:w="0" w:type="dxa"/>
              <w:left w:w="105" w:type="dxa"/>
              <w:bottom w:w="0" w:type="dxa"/>
              <w:right w:w="105" w:type="dxa"/>
            </w:tcMar>
            <w:vAlign w:val="top"/>
          </w:tcPr>
          <w:p w14:paraId="7FE876B8">
            <w:pPr>
              <w:pStyle w:val="4"/>
              <w:jc w:val="left"/>
              <w:rPr>
                <w:highlight w:val="none"/>
              </w:rPr>
            </w:pPr>
            <w:r>
              <w:rPr>
                <w:rFonts w:ascii="仿宋_GB2312" w:hAnsi="仿宋_GB2312" w:eastAsia="仿宋_GB2312" w:cs="仿宋_GB2312"/>
                <w:color w:val="000000"/>
                <w:sz w:val="24"/>
                <w:highlight w:val="none"/>
              </w:rPr>
              <w:t>有2年以上工作经验，吃苦耐劳、服务态度好。身体健康。无刑事违法犯罪记录。</w:t>
            </w:r>
          </w:p>
        </w:tc>
      </w:tr>
      <w:tr w14:paraId="7EE9548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restar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02B11C96">
            <w:pPr>
              <w:pStyle w:val="4"/>
              <w:jc w:val="left"/>
              <w:rPr>
                <w:highlight w:val="none"/>
              </w:rPr>
            </w:pPr>
            <w:r>
              <w:rPr>
                <w:rFonts w:ascii="仿宋_GB2312" w:hAnsi="仿宋_GB2312" w:eastAsia="仿宋_GB2312" w:cs="仿宋_GB2312"/>
                <w:color w:val="000000"/>
                <w:sz w:val="24"/>
                <w:highlight w:val="none"/>
              </w:rPr>
              <w:t>水电工</w:t>
            </w:r>
          </w:p>
        </w:tc>
        <w:tc>
          <w:tcPr>
            <w:tcW w:w="701" w:type="dxa"/>
            <w:vMerge w:val="restart"/>
            <w:tcBorders>
              <w:top w:val="nil"/>
              <w:left w:val="nil"/>
              <w:bottom w:val="single" w:color="000000" w:sz="4" w:space="0"/>
              <w:right w:val="single" w:color="000000" w:sz="4" w:space="0"/>
            </w:tcBorders>
            <w:tcMar>
              <w:top w:w="0" w:type="dxa"/>
              <w:left w:w="105" w:type="dxa"/>
              <w:bottom w:w="0" w:type="dxa"/>
              <w:right w:w="105" w:type="dxa"/>
            </w:tcMar>
            <w:vAlign w:val="top"/>
          </w:tcPr>
          <w:p w14:paraId="77BB6EBA">
            <w:pPr>
              <w:pStyle w:val="4"/>
              <w:jc w:val="center"/>
              <w:rPr>
                <w:highlight w:val="none"/>
              </w:rPr>
            </w:pPr>
            <w:r>
              <w:rPr>
                <w:rFonts w:ascii="仿宋_GB2312" w:hAnsi="仿宋_GB2312" w:eastAsia="仿宋_GB2312" w:cs="仿宋_GB2312"/>
                <w:color w:val="000000"/>
                <w:sz w:val="24"/>
                <w:highlight w:val="none"/>
              </w:rPr>
              <w:t>12</w:t>
            </w: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1B8DD489">
            <w:pPr>
              <w:pStyle w:val="4"/>
              <w:jc w:val="left"/>
              <w:rPr>
                <w:highlight w:val="none"/>
              </w:rPr>
            </w:pPr>
            <w:r>
              <w:rPr>
                <w:rFonts w:ascii="仿宋_GB2312" w:hAnsi="仿宋_GB2312" w:eastAsia="仿宋_GB2312" w:cs="仿宋_GB2312"/>
                <w:color w:val="000000"/>
                <w:sz w:val="24"/>
                <w:highlight w:val="none"/>
              </w:rPr>
              <w:t>福道园水电维修工</w:t>
            </w:r>
          </w:p>
        </w:tc>
        <w:tc>
          <w:tcPr>
            <w:tcW w:w="2430" w:type="dxa"/>
            <w:vMerge w:val="restart"/>
            <w:tcBorders>
              <w:top w:val="nil"/>
              <w:left w:val="nil"/>
              <w:bottom w:val="single" w:color="000000" w:sz="4" w:space="0"/>
              <w:right w:val="single" w:color="000000" w:sz="4" w:space="0"/>
            </w:tcBorders>
            <w:tcMar>
              <w:top w:w="0" w:type="dxa"/>
              <w:left w:w="105" w:type="dxa"/>
              <w:bottom w:w="0" w:type="dxa"/>
              <w:right w:w="105" w:type="dxa"/>
            </w:tcMar>
            <w:vAlign w:val="top"/>
          </w:tcPr>
          <w:p w14:paraId="4031662F">
            <w:pPr>
              <w:pStyle w:val="4"/>
              <w:jc w:val="left"/>
              <w:rPr>
                <w:highlight w:val="none"/>
              </w:rPr>
            </w:pPr>
            <w:r>
              <w:rPr>
                <w:rFonts w:ascii="仿宋_GB2312" w:hAnsi="仿宋_GB2312" w:eastAsia="仿宋_GB2312" w:cs="仿宋_GB2312"/>
                <w:color w:val="000000"/>
                <w:sz w:val="24"/>
                <w:highlight w:val="none"/>
              </w:rPr>
              <w:t>负责用水电日常运行、记录、巡检、保养、维修工作</w:t>
            </w:r>
          </w:p>
        </w:tc>
        <w:tc>
          <w:tcPr>
            <w:tcW w:w="2380" w:type="dxa"/>
            <w:vMerge w:val="restart"/>
            <w:tcBorders>
              <w:top w:val="nil"/>
              <w:left w:val="nil"/>
              <w:bottom w:val="single" w:color="000000" w:sz="4" w:space="0"/>
              <w:right w:val="single" w:color="000000" w:sz="4" w:space="0"/>
            </w:tcBorders>
            <w:tcMar>
              <w:top w:w="0" w:type="dxa"/>
              <w:left w:w="105" w:type="dxa"/>
              <w:bottom w:w="0" w:type="dxa"/>
              <w:right w:w="105" w:type="dxa"/>
            </w:tcMar>
            <w:vAlign w:val="top"/>
          </w:tcPr>
          <w:p w14:paraId="3BC26A90">
            <w:pPr>
              <w:pStyle w:val="4"/>
              <w:jc w:val="left"/>
              <w:rPr>
                <w:highlight w:val="none"/>
              </w:rPr>
            </w:pPr>
            <w:r>
              <w:rPr>
                <w:rFonts w:ascii="仿宋_GB2312" w:hAnsi="仿宋_GB2312" w:eastAsia="仿宋_GB2312" w:cs="仿宋_GB2312"/>
                <w:color w:val="000000"/>
                <w:sz w:val="24"/>
                <w:highlight w:val="none"/>
              </w:rPr>
              <w:t>具有高压或低压电工证，熟悉送配电工程及水电日常维修维护工作。有2年以上工作经验，吃苦耐劳、服务态度好，初中以上学历，福佑园和夜班人员需持有高压证。身体健康。无刑事违法犯罪记录。</w:t>
            </w:r>
          </w:p>
        </w:tc>
      </w:tr>
      <w:tr w14:paraId="1E0076A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3A200E1D">
            <w:pPr>
              <w:rPr>
                <w:highlight w:val="none"/>
              </w:rPr>
            </w:pPr>
          </w:p>
        </w:tc>
        <w:tc>
          <w:tcPr>
            <w:tcW w:w="701" w:type="dxa"/>
            <w:vMerge w:val="continue"/>
            <w:tcBorders>
              <w:top w:val="nil"/>
              <w:left w:val="nil"/>
              <w:bottom w:val="single" w:color="000000" w:sz="4" w:space="0"/>
              <w:right w:val="single" w:color="000000" w:sz="4" w:space="0"/>
            </w:tcBorders>
          </w:tcPr>
          <w:p w14:paraId="19DD8ABE">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31864D84">
            <w:pPr>
              <w:pStyle w:val="4"/>
              <w:jc w:val="left"/>
              <w:rPr>
                <w:highlight w:val="none"/>
              </w:rPr>
            </w:pPr>
            <w:r>
              <w:rPr>
                <w:rFonts w:ascii="仿宋_GB2312" w:hAnsi="仿宋_GB2312" w:eastAsia="仿宋_GB2312" w:cs="仿宋_GB2312"/>
                <w:color w:val="000000"/>
                <w:sz w:val="24"/>
                <w:highlight w:val="none"/>
              </w:rPr>
              <w:t>福道园水电维修工</w:t>
            </w:r>
          </w:p>
        </w:tc>
        <w:tc>
          <w:tcPr>
            <w:tcW w:w="2430" w:type="dxa"/>
            <w:vMerge w:val="continue"/>
            <w:tcBorders>
              <w:top w:val="nil"/>
              <w:left w:val="nil"/>
              <w:bottom w:val="single" w:color="000000" w:sz="4" w:space="0"/>
              <w:right w:val="single" w:color="000000" w:sz="4" w:space="0"/>
            </w:tcBorders>
          </w:tcPr>
          <w:p w14:paraId="15F49D5D">
            <w:pPr>
              <w:rPr>
                <w:highlight w:val="none"/>
              </w:rPr>
            </w:pPr>
          </w:p>
        </w:tc>
        <w:tc>
          <w:tcPr>
            <w:tcW w:w="2380" w:type="dxa"/>
            <w:vMerge w:val="continue"/>
            <w:tcBorders>
              <w:top w:val="nil"/>
              <w:left w:val="nil"/>
              <w:bottom w:val="single" w:color="000000" w:sz="4" w:space="0"/>
              <w:right w:val="single" w:color="000000" w:sz="4" w:space="0"/>
            </w:tcBorders>
          </w:tcPr>
          <w:p w14:paraId="2F749260">
            <w:pPr>
              <w:rPr>
                <w:highlight w:val="none"/>
              </w:rPr>
            </w:pPr>
          </w:p>
        </w:tc>
      </w:tr>
      <w:tr w14:paraId="7E1E28D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33F3C3B3">
            <w:pPr>
              <w:rPr>
                <w:highlight w:val="none"/>
              </w:rPr>
            </w:pPr>
          </w:p>
        </w:tc>
        <w:tc>
          <w:tcPr>
            <w:tcW w:w="701" w:type="dxa"/>
            <w:vMerge w:val="continue"/>
            <w:tcBorders>
              <w:top w:val="nil"/>
              <w:left w:val="nil"/>
              <w:bottom w:val="single" w:color="000000" w:sz="4" w:space="0"/>
              <w:right w:val="single" w:color="000000" w:sz="4" w:space="0"/>
            </w:tcBorders>
          </w:tcPr>
          <w:p w14:paraId="01470973">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1627BE86">
            <w:pPr>
              <w:pStyle w:val="4"/>
              <w:jc w:val="left"/>
              <w:rPr>
                <w:highlight w:val="none"/>
              </w:rPr>
            </w:pPr>
            <w:r>
              <w:rPr>
                <w:rFonts w:ascii="仿宋_GB2312" w:hAnsi="仿宋_GB2312" w:eastAsia="仿宋_GB2312" w:cs="仿宋_GB2312"/>
                <w:color w:val="000000"/>
                <w:sz w:val="24"/>
                <w:highlight w:val="none"/>
              </w:rPr>
              <w:t>福道园水电维修工</w:t>
            </w:r>
          </w:p>
        </w:tc>
        <w:tc>
          <w:tcPr>
            <w:tcW w:w="2430" w:type="dxa"/>
            <w:vMerge w:val="continue"/>
            <w:tcBorders>
              <w:top w:val="nil"/>
              <w:left w:val="nil"/>
              <w:bottom w:val="single" w:color="000000" w:sz="4" w:space="0"/>
              <w:right w:val="single" w:color="000000" w:sz="4" w:space="0"/>
            </w:tcBorders>
          </w:tcPr>
          <w:p w14:paraId="59FFCA42">
            <w:pPr>
              <w:rPr>
                <w:highlight w:val="none"/>
              </w:rPr>
            </w:pPr>
          </w:p>
        </w:tc>
        <w:tc>
          <w:tcPr>
            <w:tcW w:w="2380" w:type="dxa"/>
            <w:vMerge w:val="continue"/>
            <w:tcBorders>
              <w:top w:val="nil"/>
              <w:left w:val="nil"/>
              <w:bottom w:val="single" w:color="000000" w:sz="4" w:space="0"/>
              <w:right w:val="single" w:color="000000" w:sz="4" w:space="0"/>
            </w:tcBorders>
          </w:tcPr>
          <w:p w14:paraId="2E064061">
            <w:pPr>
              <w:rPr>
                <w:highlight w:val="none"/>
              </w:rPr>
            </w:pPr>
          </w:p>
        </w:tc>
      </w:tr>
      <w:tr w14:paraId="094BF85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50FD462F">
            <w:pPr>
              <w:rPr>
                <w:highlight w:val="none"/>
              </w:rPr>
            </w:pPr>
          </w:p>
        </w:tc>
        <w:tc>
          <w:tcPr>
            <w:tcW w:w="701" w:type="dxa"/>
            <w:vMerge w:val="continue"/>
            <w:tcBorders>
              <w:top w:val="nil"/>
              <w:left w:val="nil"/>
              <w:bottom w:val="single" w:color="000000" w:sz="4" w:space="0"/>
              <w:right w:val="single" w:color="000000" w:sz="4" w:space="0"/>
            </w:tcBorders>
          </w:tcPr>
          <w:p w14:paraId="03D72042">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5986ED7A">
            <w:pPr>
              <w:pStyle w:val="4"/>
              <w:jc w:val="left"/>
              <w:rPr>
                <w:highlight w:val="none"/>
              </w:rPr>
            </w:pPr>
            <w:r>
              <w:rPr>
                <w:rFonts w:ascii="仿宋_GB2312" w:hAnsi="仿宋_GB2312" w:eastAsia="仿宋_GB2312" w:cs="仿宋_GB2312"/>
                <w:color w:val="000000"/>
                <w:sz w:val="24"/>
                <w:highlight w:val="none"/>
              </w:rPr>
              <w:t>福航园水电维修工</w:t>
            </w:r>
          </w:p>
        </w:tc>
        <w:tc>
          <w:tcPr>
            <w:tcW w:w="2430" w:type="dxa"/>
            <w:vMerge w:val="continue"/>
            <w:tcBorders>
              <w:top w:val="nil"/>
              <w:left w:val="nil"/>
              <w:bottom w:val="single" w:color="000000" w:sz="4" w:space="0"/>
              <w:right w:val="single" w:color="000000" w:sz="4" w:space="0"/>
            </w:tcBorders>
          </w:tcPr>
          <w:p w14:paraId="461E3C07">
            <w:pPr>
              <w:rPr>
                <w:highlight w:val="none"/>
              </w:rPr>
            </w:pPr>
          </w:p>
        </w:tc>
        <w:tc>
          <w:tcPr>
            <w:tcW w:w="2380" w:type="dxa"/>
            <w:vMerge w:val="continue"/>
            <w:tcBorders>
              <w:top w:val="nil"/>
              <w:left w:val="nil"/>
              <w:bottom w:val="single" w:color="000000" w:sz="4" w:space="0"/>
              <w:right w:val="single" w:color="000000" w:sz="4" w:space="0"/>
            </w:tcBorders>
          </w:tcPr>
          <w:p w14:paraId="25E65D52">
            <w:pPr>
              <w:rPr>
                <w:highlight w:val="none"/>
              </w:rPr>
            </w:pPr>
          </w:p>
        </w:tc>
      </w:tr>
      <w:tr w14:paraId="7C597DD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47862BEA">
            <w:pPr>
              <w:rPr>
                <w:highlight w:val="none"/>
              </w:rPr>
            </w:pPr>
          </w:p>
        </w:tc>
        <w:tc>
          <w:tcPr>
            <w:tcW w:w="701" w:type="dxa"/>
            <w:vMerge w:val="continue"/>
            <w:tcBorders>
              <w:top w:val="nil"/>
              <w:left w:val="nil"/>
              <w:bottom w:val="single" w:color="000000" w:sz="4" w:space="0"/>
              <w:right w:val="single" w:color="000000" w:sz="4" w:space="0"/>
            </w:tcBorders>
          </w:tcPr>
          <w:p w14:paraId="757F09DE">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553EC540">
            <w:pPr>
              <w:pStyle w:val="4"/>
              <w:jc w:val="left"/>
              <w:rPr>
                <w:highlight w:val="none"/>
              </w:rPr>
            </w:pPr>
            <w:r>
              <w:rPr>
                <w:rFonts w:ascii="仿宋_GB2312" w:hAnsi="仿宋_GB2312" w:eastAsia="仿宋_GB2312" w:cs="仿宋_GB2312"/>
                <w:color w:val="000000"/>
                <w:sz w:val="24"/>
                <w:highlight w:val="none"/>
              </w:rPr>
              <w:t>福航园水电维修工</w:t>
            </w:r>
          </w:p>
        </w:tc>
        <w:tc>
          <w:tcPr>
            <w:tcW w:w="2430" w:type="dxa"/>
            <w:vMerge w:val="continue"/>
            <w:tcBorders>
              <w:top w:val="nil"/>
              <w:left w:val="nil"/>
              <w:bottom w:val="single" w:color="000000" w:sz="4" w:space="0"/>
              <w:right w:val="single" w:color="000000" w:sz="4" w:space="0"/>
            </w:tcBorders>
          </w:tcPr>
          <w:p w14:paraId="455D1BCD">
            <w:pPr>
              <w:rPr>
                <w:highlight w:val="none"/>
              </w:rPr>
            </w:pPr>
          </w:p>
        </w:tc>
        <w:tc>
          <w:tcPr>
            <w:tcW w:w="2380" w:type="dxa"/>
            <w:vMerge w:val="continue"/>
            <w:tcBorders>
              <w:top w:val="nil"/>
              <w:left w:val="nil"/>
              <w:bottom w:val="single" w:color="000000" w:sz="4" w:space="0"/>
              <w:right w:val="single" w:color="000000" w:sz="4" w:space="0"/>
            </w:tcBorders>
          </w:tcPr>
          <w:p w14:paraId="59F42E94">
            <w:pPr>
              <w:rPr>
                <w:highlight w:val="none"/>
              </w:rPr>
            </w:pPr>
          </w:p>
        </w:tc>
      </w:tr>
      <w:tr w14:paraId="4DA7DF5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4583F15A">
            <w:pPr>
              <w:rPr>
                <w:highlight w:val="none"/>
              </w:rPr>
            </w:pPr>
          </w:p>
        </w:tc>
        <w:tc>
          <w:tcPr>
            <w:tcW w:w="701" w:type="dxa"/>
            <w:vMerge w:val="continue"/>
            <w:tcBorders>
              <w:top w:val="nil"/>
              <w:left w:val="nil"/>
              <w:bottom w:val="single" w:color="000000" w:sz="4" w:space="0"/>
              <w:right w:val="single" w:color="000000" w:sz="4" w:space="0"/>
            </w:tcBorders>
          </w:tcPr>
          <w:p w14:paraId="1535DF46">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48AFD034">
            <w:pPr>
              <w:pStyle w:val="4"/>
              <w:jc w:val="left"/>
              <w:rPr>
                <w:highlight w:val="none"/>
              </w:rPr>
            </w:pPr>
            <w:r>
              <w:rPr>
                <w:rFonts w:ascii="仿宋_GB2312" w:hAnsi="仿宋_GB2312" w:eastAsia="仿宋_GB2312" w:cs="仿宋_GB2312"/>
                <w:color w:val="000000"/>
                <w:sz w:val="24"/>
                <w:highlight w:val="none"/>
              </w:rPr>
              <w:t>福航园水电维修工</w:t>
            </w:r>
          </w:p>
        </w:tc>
        <w:tc>
          <w:tcPr>
            <w:tcW w:w="2430" w:type="dxa"/>
            <w:vMerge w:val="continue"/>
            <w:tcBorders>
              <w:top w:val="nil"/>
              <w:left w:val="nil"/>
              <w:bottom w:val="single" w:color="000000" w:sz="4" w:space="0"/>
              <w:right w:val="single" w:color="000000" w:sz="4" w:space="0"/>
            </w:tcBorders>
          </w:tcPr>
          <w:p w14:paraId="44B93ABF">
            <w:pPr>
              <w:rPr>
                <w:highlight w:val="none"/>
              </w:rPr>
            </w:pPr>
          </w:p>
        </w:tc>
        <w:tc>
          <w:tcPr>
            <w:tcW w:w="2380" w:type="dxa"/>
            <w:vMerge w:val="continue"/>
            <w:tcBorders>
              <w:top w:val="nil"/>
              <w:left w:val="nil"/>
              <w:bottom w:val="single" w:color="000000" w:sz="4" w:space="0"/>
              <w:right w:val="single" w:color="000000" w:sz="4" w:space="0"/>
            </w:tcBorders>
          </w:tcPr>
          <w:p w14:paraId="7636D49F">
            <w:pPr>
              <w:rPr>
                <w:highlight w:val="none"/>
              </w:rPr>
            </w:pPr>
          </w:p>
        </w:tc>
      </w:tr>
      <w:tr w14:paraId="7865F31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41D76ABC">
            <w:pPr>
              <w:rPr>
                <w:highlight w:val="none"/>
              </w:rPr>
            </w:pPr>
          </w:p>
        </w:tc>
        <w:tc>
          <w:tcPr>
            <w:tcW w:w="701" w:type="dxa"/>
            <w:vMerge w:val="continue"/>
            <w:tcBorders>
              <w:top w:val="nil"/>
              <w:left w:val="nil"/>
              <w:bottom w:val="single" w:color="000000" w:sz="4" w:space="0"/>
              <w:right w:val="single" w:color="000000" w:sz="4" w:space="0"/>
            </w:tcBorders>
          </w:tcPr>
          <w:p w14:paraId="639567DC">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18CBCC0C">
            <w:pPr>
              <w:pStyle w:val="4"/>
              <w:jc w:val="left"/>
              <w:rPr>
                <w:highlight w:val="none"/>
              </w:rPr>
            </w:pPr>
            <w:r>
              <w:rPr>
                <w:rFonts w:ascii="仿宋_GB2312" w:hAnsi="仿宋_GB2312" w:eastAsia="仿宋_GB2312" w:cs="仿宋_GB2312"/>
                <w:color w:val="000000"/>
                <w:sz w:val="24"/>
                <w:highlight w:val="none"/>
              </w:rPr>
              <w:t>福船园水电维修工</w:t>
            </w:r>
          </w:p>
        </w:tc>
        <w:tc>
          <w:tcPr>
            <w:tcW w:w="2430" w:type="dxa"/>
            <w:vMerge w:val="continue"/>
            <w:tcBorders>
              <w:top w:val="nil"/>
              <w:left w:val="nil"/>
              <w:bottom w:val="single" w:color="000000" w:sz="4" w:space="0"/>
              <w:right w:val="single" w:color="000000" w:sz="4" w:space="0"/>
            </w:tcBorders>
          </w:tcPr>
          <w:p w14:paraId="548DE0D5">
            <w:pPr>
              <w:rPr>
                <w:highlight w:val="none"/>
              </w:rPr>
            </w:pPr>
          </w:p>
        </w:tc>
        <w:tc>
          <w:tcPr>
            <w:tcW w:w="2380" w:type="dxa"/>
            <w:vMerge w:val="continue"/>
            <w:tcBorders>
              <w:top w:val="nil"/>
              <w:left w:val="nil"/>
              <w:bottom w:val="single" w:color="000000" w:sz="4" w:space="0"/>
              <w:right w:val="single" w:color="000000" w:sz="4" w:space="0"/>
            </w:tcBorders>
          </w:tcPr>
          <w:p w14:paraId="3886A2DB">
            <w:pPr>
              <w:rPr>
                <w:highlight w:val="none"/>
              </w:rPr>
            </w:pPr>
          </w:p>
        </w:tc>
      </w:tr>
      <w:tr w14:paraId="22CD095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34329904">
            <w:pPr>
              <w:rPr>
                <w:highlight w:val="none"/>
              </w:rPr>
            </w:pPr>
          </w:p>
        </w:tc>
        <w:tc>
          <w:tcPr>
            <w:tcW w:w="701" w:type="dxa"/>
            <w:vMerge w:val="continue"/>
            <w:tcBorders>
              <w:top w:val="nil"/>
              <w:left w:val="nil"/>
              <w:bottom w:val="single" w:color="000000" w:sz="4" w:space="0"/>
              <w:right w:val="single" w:color="000000" w:sz="4" w:space="0"/>
            </w:tcBorders>
          </w:tcPr>
          <w:p w14:paraId="4A01EDED">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3E43CEE8">
            <w:pPr>
              <w:pStyle w:val="4"/>
              <w:jc w:val="left"/>
              <w:rPr>
                <w:highlight w:val="none"/>
              </w:rPr>
            </w:pPr>
            <w:r>
              <w:rPr>
                <w:rFonts w:ascii="仿宋_GB2312" w:hAnsi="仿宋_GB2312" w:eastAsia="仿宋_GB2312" w:cs="仿宋_GB2312"/>
                <w:color w:val="000000"/>
                <w:sz w:val="24"/>
                <w:highlight w:val="none"/>
              </w:rPr>
              <w:t>福船园水电维修工</w:t>
            </w:r>
          </w:p>
        </w:tc>
        <w:tc>
          <w:tcPr>
            <w:tcW w:w="2430" w:type="dxa"/>
            <w:vMerge w:val="continue"/>
            <w:tcBorders>
              <w:top w:val="nil"/>
              <w:left w:val="nil"/>
              <w:bottom w:val="single" w:color="000000" w:sz="4" w:space="0"/>
              <w:right w:val="single" w:color="000000" w:sz="4" w:space="0"/>
            </w:tcBorders>
          </w:tcPr>
          <w:p w14:paraId="5C2D96B2">
            <w:pPr>
              <w:rPr>
                <w:highlight w:val="none"/>
              </w:rPr>
            </w:pPr>
          </w:p>
        </w:tc>
        <w:tc>
          <w:tcPr>
            <w:tcW w:w="2380" w:type="dxa"/>
            <w:vMerge w:val="continue"/>
            <w:tcBorders>
              <w:top w:val="nil"/>
              <w:left w:val="nil"/>
              <w:bottom w:val="single" w:color="000000" w:sz="4" w:space="0"/>
              <w:right w:val="single" w:color="000000" w:sz="4" w:space="0"/>
            </w:tcBorders>
          </w:tcPr>
          <w:p w14:paraId="798E2465">
            <w:pPr>
              <w:rPr>
                <w:highlight w:val="none"/>
              </w:rPr>
            </w:pPr>
          </w:p>
        </w:tc>
      </w:tr>
      <w:tr w14:paraId="7394CF5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2A10FC8B">
            <w:pPr>
              <w:rPr>
                <w:highlight w:val="none"/>
              </w:rPr>
            </w:pPr>
          </w:p>
        </w:tc>
        <w:tc>
          <w:tcPr>
            <w:tcW w:w="701" w:type="dxa"/>
            <w:vMerge w:val="continue"/>
            <w:tcBorders>
              <w:top w:val="nil"/>
              <w:left w:val="nil"/>
              <w:bottom w:val="single" w:color="000000" w:sz="4" w:space="0"/>
              <w:right w:val="single" w:color="000000" w:sz="4" w:space="0"/>
            </w:tcBorders>
          </w:tcPr>
          <w:p w14:paraId="0658A8C0">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16D575DF">
            <w:pPr>
              <w:pStyle w:val="4"/>
              <w:jc w:val="left"/>
              <w:rPr>
                <w:highlight w:val="none"/>
              </w:rPr>
            </w:pPr>
            <w:r>
              <w:rPr>
                <w:rFonts w:ascii="仿宋_GB2312" w:hAnsi="仿宋_GB2312" w:eastAsia="仿宋_GB2312" w:cs="仿宋_GB2312"/>
                <w:color w:val="000000"/>
                <w:sz w:val="24"/>
                <w:highlight w:val="none"/>
              </w:rPr>
              <w:t>福船园水电维修工</w:t>
            </w:r>
          </w:p>
        </w:tc>
        <w:tc>
          <w:tcPr>
            <w:tcW w:w="2430" w:type="dxa"/>
            <w:vMerge w:val="continue"/>
            <w:tcBorders>
              <w:top w:val="nil"/>
              <w:left w:val="nil"/>
              <w:bottom w:val="single" w:color="000000" w:sz="4" w:space="0"/>
              <w:right w:val="single" w:color="000000" w:sz="4" w:space="0"/>
            </w:tcBorders>
          </w:tcPr>
          <w:p w14:paraId="34025607">
            <w:pPr>
              <w:rPr>
                <w:highlight w:val="none"/>
              </w:rPr>
            </w:pPr>
          </w:p>
        </w:tc>
        <w:tc>
          <w:tcPr>
            <w:tcW w:w="2380" w:type="dxa"/>
            <w:vMerge w:val="continue"/>
            <w:tcBorders>
              <w:top w:val="nil"/>
              <w:left w:val="nil"/>
              <w:bottom w:val="single" w:color="000000" w:sz="4" w:space="0"/>
              <w:right w:val="single" w:color="000000" w:sz="4" w:space="0"/>
            </w:tcBorders>
          </w:tcPr>
          <w:p w14:paraId="187488E2">
            <w:pPr>
              <w:rPr>
                <w:highlight w:val="none"/>
              </w:rPr>
            </w:pPr>
          </w:p>
        </w:tc>
      </w:tr>
      <w:tr w14:paraId="09D028C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33CE2BBF">
            <w:pPr>
              <w:rPr>
                <w:highlight w:val="none"/>
              </w:rPr>
            </w:pPr>
          </w:p>
        </w:tc>
        <w:tc>
          <w:tcPr>
            <w:tcW w:w="701" w:type="dxa"/>
            <w:vMerge w:val="continue"/>
            <w:tcBorders>
              <w:top w:val="nil"/>
              <w:left w:val="nil"/>
              <w:bottom w:val="single" w:color="000000" w:sz="4" w:space="0"/>
              <w:right w:val="single" w:color="000000" w:sz="4" w:space="0"/>
            </w:tcBorders>
          </w:tcPr>
          <w:p w14:paraId="57F7ACD9">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3B8F0927">
            <w:pPr>
              <w:pStyle w:val="4"/>
              <w:jc w:val="left"/>
              <w:rPr>
                <w:highlight w:val="none"/>
              </w:rPr>
            </w:pPr>
            <w:r>
              <w:rPr>
                <w:rFonts w:ascii="仿宋_GB2312" w:hAnsi="仿宋_GB2312" w:eastAsia="仿宋_GB2312" w:cs="仿宋_GB2312"/>
                <w:color w:val="000000"/>
                <w:sz w:val="24"/>
                <w:highlight w:val="none"/>
              </w:rPr>
              <w:t>长安水电维修工</w:t>
            </w:r>
          </w:p>
        </w:tc>
        <w:tc>
          <w:tcPr>
            <w:tcW w:w="2430" w:type="dxa"/>
            <w:vMerge w:val="continue"/>
            <w:tcBorders>
              <w:top w:val="nil"/>
              <w:left w:val="nil"/>
              <w:bottom w:val="single" w:color="000000" w:sz="4" w:space="0"/>
              <w:right w:val="single" w:color="000000" w:sz="4" w:space="0"/>
            </w:tcBorders>
          </w:tcPr>
          <w:p w14:paraId="283A162B">
            <w:pPr>
              <w:rPr>
                <w:highlight w:val="none"/>
              </w:rPr>
            </w:pPr>
          </w:p>
        </w:tc>
        <w:tc>
          <w:tcPr>
            <w:tcW w:w="2380" w:type="dxa"/>
            <w:vMerge w:val="continue"/>
            <w:tcBorders>
              <w:top w:val="nil"/>
              <w:left w:val="nil"/>
              <w:bottom w:val="single" w:color="000000" w:sz="4" w:space="0"/>
              <w:right w:val="single" w:color="000000" w:sz="4" w:space="0"/>
            </w:tcBorders>
          </w:tcPr>
          <w:p w14:paraId="0035E3F5">
            <w:pPr>
              <w:rPr>
                <w:highlight w:val="none"/>
              </w:rPr>
            </w:pPr>
          </w:p>
        </w:tc>
      </w:tr>
      <w:tr w14:paraId="4F2EA76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7AAF6C15">
            <w:pPr>
              <w:rPr>
                <w:highlight w:val="none"/>
              </w:rPr>
            </w:pPr>
          </w:p>
        </w:tc>
        <w:tc>
          <w:tcPr>
            <w:tcW w:w="701" w:type="dxa"/>
            <w:vMerge w:val="continue"/>
            <w:tcBorders>
              <w:top w:val="nil"/>
              <w:left w:val="nil"/>
              <w:bottom w:val="single" w:color="000000" w:sz="4" w:space="0"/>
              <w:right w:val="single" w:color="000000" w:sz="4" w:space="0"/>
            </w:tcBorders>
          </w:tcPr>
          <w:p w14:paraId="2B24A4DA">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30AF8C31">
            <w:pPr>
              <w:pStyle w:val="4"/>
              <w:jc w:val="left"/>
              <w:rPr>
                <w:highlight w:val="none"/>
              </w:rPr>
            </w:pPr>
            <w:r>
              <w:rPr>
                <w:rFonts w:ascii="仿宋_GB2312" w:hAnsi="仿宋_GB2312" w:eastAsia="仿宋_GB2312" w:cs="仿宋_GB2312"/>
                <w:color w:val="000000"/>
                <w:sz w:val="24"/>
                <w:highlight w:val="none"/>
              </w:rPr>
              <w:t>全校区夜班电工</w:t>
            </w:r>
          </w:p>
        </w:tc>
        <w:tc>
          <w:tcPr>
            <w:tcW w:w="2430" w:type="dxa"/>
            <w:vMerge w:val="continue"/>
            <w:tcBorders>
              <w:top w:val="nil"/>
              <w:left w:val="nil"/>
              <w:bottom w:val="single" w:color="000000" w:sz="4" w:space="0"/>
              <w:right w:val="single" w:color="000000" w:sz="4" w:space="0"/>
            </w:tcBorders>
          </w:tcPr>
          <w:p w14:paraId="4F334B22">
            <w:pPr>
              <w:rPr>
                <w:highlight w:val="none"/>
              </w:rPr>
            </w:pPr>
          </w:p>
        </w:tc>
        <w:tc>
          <w:tcPr>
            <w:tcW w:w="2380" w:type="dxa"/>
            <w:vMerge w:val="continue"/>
            <w:tcBorders>
              <w:top w:val="nil"/>
              <w:left w:val="nil"/>
              <w:bottom w:val="single" w:color="000000" w:sz="4" w:space="0"/>
              <w:right w:val="single" w:color="000000" w:sz="4" w:space="0"/>
            </w:tcBorders>
          </w:tcPr>
          <w:p w14:paraId="68CEAB7E">
            <w:pPr>
              <w:rPr>
                <w:highlight w:val="none"/>
              </w:rPr>
            </w:pPr>
          </w:p>
        </w:tc>
      </w:tr>
      <w:tr w14:paraId="31FAE4E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7B9E66A8">
            <w:pPr>
              <w:rPr>
                <w:highlight w:val="none"/>
              </w:rPr>
            </w:pPr>
          </w:p>
        </w:tc>
        <w:tc>
          <w:tcPr>
            <w:tcW w:w="701" w:type="dxa"/>
            <w:vMerge w:val="continue"/>
            <w:tcBorders>
              <w:top w:val="nil"/>
              <w:left w:val="nil"/>
              <w:bottom w:val="single" w:color="000000" w:sz="4" w:space="0"/>
              <w:right w:val="single" w:color="000000" w:sz="4" w:space="0"/>
            </w:tcBorders>
          </w:tcPr>
          <w:p w14:paraId="4FF84FA6">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12AE8EFD">
            <w:pPr>
              <w:pStyle w:val="4"/>
              <w:jc w:val="left"/>
              <w:rPr>
                <w:highlight w:val="none"/>
              </w:rPr>
            </w:pPr>
            <w:r>
              <w:rPr>
                <w:rFonts w:ascii="仿宋_GB2312" w:hAnsi="仿宋_GB2312" w:eastAsia="仿宋_GB2312" w:cs="仿宋_GB2312"/>
                <w:color w:val="000000"/>
                <w:sz w:val="24"/>
                <w:highlight w:val="none"/>
              </w:rPr>
              <w:t>福佑园水电维修工+夜班值班</w:t>
            </w:r>
          </w:p>
        </w:tc>
        <w:tc>
          <w:tcPr>
            <w:tcW w:w="2430" w:type="dxa"/>
            <w:vMerge w:val="continue"/>
            <w:tcBorders>
              <w:top w:val="nil"/>
              <w:left w:val="nil"/>
              <w:bottom w:val="single" w:color="000000" w:sz="4" w:space="0"/>
              <w:right w:val="single" w:color="000000" w:sz="4" w:space="0"/>
            </w:tcBorders>
          </w:tcPr>
          <w:p w14:paraId="3E5A0943">
            <w:pPr>
              <w:rPr>
                <w:highlight w:val="none"/>
              </w:rPr>
            </w:pPr>
          </w:p>
        </w:tc>
        <w:tc>
          <w:tcPr>
            <w:tcW w:w="2380" w:type="dxa"/>
            <w:vMerge w:val="continue"/>
            <w:tcBorders>
              <w:top w:val="nil"/>
              <w:left w:val="nil"/>
              <w:bottom w:val="single" w:color="000000" w:sz="4" w:space="0"/>
              <w:right w:val="single" w:color="000000" w:sz="4" w:space="0"/>
            </w:tcBorders>
          </w:tcPr>
          <w:p w14:paraId="41954BEA">
            <w:pPr>
              <w:rPr>
                <w:highlight w:val="none"/>
              </w:rPr>
            </w:pPr>
          </w:p>
        </w:tc>
      </w:tr>
      <w:tr w14:paraId="672E135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restar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123C0F2">
            <w:pPr>
              <w:pStyle w:val="4"/>
              <w:jc w:val="left"/>
              <w:rPr>
                <w:highlight w:val="none"/>
              </w:rPr>
            </w:pPr>
            <w:r>
              <w:rPr>
                <w:rFonts w:ascii="仿宋_GB2312" w:hAnsi="仿宋_GB2312" w:eastAsia="仿宋_GB2312" w:cs="仿宋_GB2312"/>
                <w:color w:val="000000"/>
                <w:sz w:val="24"/>
                <w:highlight w:val="none"/>
              </w:rPr>
              <w:t>学生宿舍管理员</w:t>
            </w:r>
          </w:p>
        </w:tc>
        <w:tc>
          <w:tcPr>
            <w:tcW w:w="701" w:type="dxa"/>
            <w:vMerge w:val="restart"/>
            <w:tcBorders>
              <w:top w:val="nil"/>
              <w:left w:val="nil"/>
              <w:bottom w:val="single" w:color="000000" w:sz="4" w:space="0"/>
              <w:right w:val="single" w:color="000000" w:sz="4" w:space="0"/>
            </w:tcBorders>
            <w:tcMar>
              <w:top w:w="0" w:type="dxa"/>
              <w:left w:w="105" w:type="dxa"/>
              <w:bottom w:w="0" w:type="dxa"/>
              <w:right w:w="105" w:type="dxa"/>
            </w:tcMar>
            <w:vAlign w:val="top"/>
          </w:tcPr>
          <w:p w14:paraId="34A43A88">
            <w:pPr>
              <w:pStyle w:val="4"/>
              <w:jc w:val="center"/>
              <w:rPr>
                <w:highlight w:val="none"/>
              </w:rPr>
            </w:pPr>
            <w:r>
              <w:rPr>
                <w:rFonts w:ascii="仿宋_GB2312" w:hAnsi="仿宋_GB2312" w:eastAsia="仿宋_GB2312" w:cs="仿宋_GB2312"/>
                <w:color w:val="000000"/>
                <w:sz w:val="24"/>
                <w:highlight w:val="none"/>
              </w:rPr>
              <w:t>44</w:t>
            </w: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3285AD62">
            <w:pPr>
              <w:pStyle w:val="4"/>
              <w:jc w:val="left"/>
              <w:rPr>
                <w:highlight w:val="none"/>
              </w:rPr>
            </w:pPr>
            <w:r>
              <w:rPr>
                <w:rFonts w:ascii="仿宋_GB2312" w:hAnsi="仿宋_GB2312" w:eastAsia="仿宋_GB2312" w:cs="仿宋_GB2312"/>
                <w:color w:val="000000"/>
                <w:sz w:val="24"/>
                <w:highlight w:val="none"/>
              </w:rPr>
              <w:t>福道园6#学生宿舍楼管</w:t>
            </w:r>
          </w:p>
        </w:tc>
        <w:tc>
          <w:tcPr>
            <w:tcW w:w="2430" w:type="dxa"/>
            <w:vMerge w:val="restart"/>
            <w:tcBorders>
              <w:top w:val="nil"/>
              <w:left w:val="nil"/>
              <w:bottom w:val="single" w:color="000000" w:sz="4" w:space="0"/>
              <w:right w:val="single" w:color="000000" w:sz="4" w:space="0"/>
            </w:tcBorders>
            <w:tcMar>
              <w:top w:w="0" w:type="dxa"/>
              <w:left w:w="105" w:type="dxa"/>
              <w:bottom w:w="0" w:type="dxa"/>
              <w:right w:w="105" w:type="dxa"/>
            </w:tcMar>
            <w:vAlign w:val="top"/>
          </w:tcPr>
          <w:p w14:paraId="1C2150D2">
            <w:pPr>
              <w:pStyle w:val="4"/>
              <w:jc w:val="left"/>
              <w:rPr>
                <w:highlight w:val="none"/>
              </w:rPr>
            </w:pPr>
            <w:r>
              <w:rPr>
                <w:rFonts w:ascii="仿宋_GB2312" w:hAnsi="仿宋_GB2312" w:eastAsia="仿宋_GB2312" w:cs="仿宋_GB2312"/>
                <w:color w:val="000000"/>
                <w:sz w:val="24"/>
                <w:highlight w:val="none"/>
              </w:rPr>
              <w:t>24小时负责楼栋管理、巡查工作，为师生提供相关服务。</w:t>
            </w:r>
          </w:p>
        </w:tc>
        <w:tc>
          <w:tcPr>
            <w:tcW w:w="2380" w:type="dxa"/>
            <w:vMerge w:val="restart"/>
            <w:tcBorders>
              <w:top w:val="nil"/>
              <w:left w:val="nil"/>
              <w:bottom w:val="single" w:color="000000" w:sz="4" w:space="0"/>
              <w:right w:val="single" w:color="000000" w:sz="4" w:space="0"/>
            </w:tcBorders>
            <w:tcMar>
              <w:top w:w="0" w:type="dxa"/>
              <w:left w:w="105" w:type="dxa"/>
              <w:bottom w:w="0" w:type="dxa"/>
              <w:right w:w="105" w:type="dxa"/>
            </w:tcMar>
            <w:vAlign w:val="top"/>
          </w:tcPr>
          <w:p w14:paraId="0EBD13AD">
            <w:pPr>
              <w:pStyle w:val="4"/>
              <w:jc w:val="left"/>
              <w:rPr>
                <w:highlight w:val="none"/>
              </w:rPr>
            </w:pPr>
            <w:r>
              <w:rPr>
                <w:rFonts w:ascii="仿宋_GB2312" w:hAnsi="仿宋_GB2312" w:eastAsia="仿宋_GB2312" w:cs="仿宋_GB2312"/>
                <w:color w:val="000000"/>
                <w:sz w:val="24"/>
                <w:highlight w:val="none"/>
              </w:rPr>
              <w:t>有2年以上工作经验，吃苦耐劳、服务态度好，初中以上学历，会操作手机，电脑。身体健康。无刑事违法犯罪记录。</w:t>
            </w:r>
          </w:p>
        </w:tc>
      </w:tr>
      <w:tr w14:paraId="0C5C209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2B0A1082">
            <w:pPr>
              <w:rPr>
                <w:highlight w:val="none"/>
              </w:rPr>
            </w:pPr>
          </w:p>
        </w:tc>
        <w:tc>
          <w:tcPr>
            <w:tcW w:w="701" w:type="dxa"/>
            <w:vMerge w:val="continue"/>
            <w:tcBorders>
              <w:top w:val="nil"/>
              <w:left w:val="nil"/>
              <w:bottom w:val="single" w:color="000000" w:sz="4" w:space="0"/>
              <w:right w:val="single" w:color="000000" w:sz="4" w:space="0"/>
            </w:tcBorders>
          </w:tcPr>
          <w:p w14:paraId="1D2BB690">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6885AE74">
            <w:pPr>
              <w:pStyle w:val="4"/>
              <w:jc w:val="left"/>
              <w:rPr>
                <w:highlight w:val="none"/>
              </w:rPr>
            </w:pPr>
            <w:r>
              <w:rPr>
                <w:rFonts w:ascii="仿宋_GB2312" w:hAnsi="仿宋_GB2312" w:eastAsia="仿宋_GB2312" w:cs="仿宋_GB2312"/>
                <w:color w:val="000000"/>
                <w:sz w:val="24"/>
                <w:highlight w:val="none"/>
              </w:rPr>
              <w:t>福道园6#学生宿舍楼管</w:t>
            </w:r>
          </w:p>
        </w:tc>
        <w:tc>
          <w:tcPr>
            <w:tcW w:w="2430" w:type="dxa"/>
            <w:vMerge w:val="continue"/>
            <w:tcBorders>
              <w:top w:val="nil"/>
              <w:left w:val="nil"/>
              <w:bottom w:val="single" w:color="000000" w:sz="4" w:space="0"/>
              <w:right w:val="single" w:color="000000" w:sz="4" w:space="0"/>
            </w:tcBorders>
          </w:tcPr>
          <w:p w14:paraId="21CC5064">
            <w:pPr>
              <w:rPr>
                <w:highlight w:val="none"/>
              </w:rPr>
            </w:pPr>
          </w:p>
        </w:tc>
        <w:tc>
          <w:tcPr>
            <w:tcW w:w="2380" w:type="dxa"/>
            <w:vMerge w:val="continue"/>
            <w:tcBorders>
              <w:top w:val="nil"/>
              <w:left w:val="nil"/>
              <w:bottom w:val="single" w:color="000000" w:sz="4" w:space="0"/>
              <w:right w:val="single" w:color="000000" w:sz="4" w:space="0"/>
            </w:tcBorders>
          </w:tcPr>
          <w:p w14:paraId="13926408">
            <w:pPr>
              <w:rPr>
                <w:highlight w:val="none"/>
              </w:rPr>
            </w:pPr>
          </w:p>
        </w:tc>
      </w:tr>
      <w:tr w14:paraId="0127813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68D3FD3C">
            <w:pPr>
              <w:rPr>
                <w:highlight w:val="none"/>
              </w:rPr>
            </w:pPr>
          </w:p>
        </w:tc>
        <w:tc>
          <w:tcPr>
            <w:tcW w:w="701" w:type="dxa"/>
            <w:vMerge w:val="continue"/>
            <w:tcBorders>
              <w:top w:val="nil"/>
              <w:left w:val="nil"/>
              <w:bottom w:val="single" w:color="000000" w:sz="4" w:space="0"/>
              <w:right w:val="single" w:color="000000" w:sz="4" w:space="0"/>
            </w:tcBorders>
          </w:tcPr>
          <w:p w14:paraId="14493D66">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587065B1">
            <w:pPr>
              <w:pStyle w:val="4"/>
              <w:jc w:val="left"/>
              <w:rPr>
                <w:highlight w:val="none"/>
              </w:rPr>
            </w:pPr>
            <w:r>
              <w:rPr>
                <w:rFonts w:ascii="仿宋_GB2312" w:hAnsi="仿宋_GB2312" w:eastAsia="仿宋_GB2312" w:cs="仿宋_GB2312"/>
                <w:color w:val="000000"/>
                <w:sz w:val="24"/>
                <w:highlight w:val="none"/>
              </w:rPr>
              <w:t>福道园22#学生宿舍楼管</w:t>
            </w:r>
          </w:p>
        </w:tc>
        <w:tc>
          <w:tcPr>
            <w:tcW w:w="2430" w:type="dxa"/>
            <w:vMerge w:val="continue"/>
            <w:tcBorders>
              <w:top w:val="nil"/>
              <w:left w:val="nil"/>
              <w:bottom w:val="single" w:color="000000" w:sz="4" w:space="0"/>
              <w:right w:val="single" w:color="000000" w:sz="4" w:space="0"/>
            </w:tcBorders>
          </w:tcPr>
          <w:p w14:paraId="22BA6348">
            <w:pPr>
              <w:rPr>
                <w:highlight w:val="none"/>
              </w:rPr>
            </w:pPr>
          </w:p>
        </w:tc>
        <w:tc>
          <w:tcPr>
            <w:tcW w:w="2380" w:type="dxa"/>
            <w:vMerge w:val="continue"/>
            <w:tcBorders>
              <w:top w:val="nil"/>
              <w:left w:val="nil"/>
              <w:bottom w:val="single" w:color="000000" w:sz="4" w:space="0"/>
              <w:right w:val="single" w:color="000000" w:sz="4" w:space="0"/>
            </w:tcBorders>
          </w:tcPr>
          <w:p w14:paraId="02CE0F7E">
            <w:pPr>
              <w:rPr>
                <w:highlight w:val="none"/>
              </w:rPr>
            </w:pPr>
          </w:p>
        </w:tc>
      </w:tr>
      <w:tr w14:paraId="631CF9E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6672EBFE">
            <w:pPr>
              <w:rPr>
                <w:highlight w:val="none"/>
              </w:rPr>
            </w:pPr>
          </w:p>
        </w:tc>
        <w:tc>
          <w:tcPr>
            <w:tcW w:w="701" w:type="dxa"/>
            <w:vMerge w:val="continue"/>
            <w:tcBorders>
              <w:top w:val="nil"/>
              <w:left w:val="nil"/>
              <w:bottom w:val="single" w:color="000000" w:sz="4" w:space="0"/>
              <w:right w:val="single" w:color="000000" w:sz="4" w:space="0"/>
            </w:tcBorders>
          </w:tcPr>
          <w:p w14:paraId="2FE15AF2">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4E3DD86D">
            <w:pPr>
              <w:pStyle w:val="4"/>
              <w:jc w:val="left"/>
              <w:rPr>
                <w:highlight w:val="none"/>
              </w:rPr>
            </w:pPr>
            <w:r>
              <w:rPr>
                <w:rFonts w:ascii="仿宋_GB2312" w:hAnsi="仿宋_GB2312" w:eastAsia="仿宋_GB2312" w:cs="仿宋_GB2312"/>
                <w:color w:val="000000"/>
                <w:sz w:val="24"/>
                <w:highlight w:val="none"/>
              </w:rPr>
              <w:t>福道园22#学生宿舍楼管</w:t>
            </w:r>
          </w:p>
        </w:tc>
        <w:tc>
          <w:tcPr>
            <w:tcW w:w="2430" w:type="dxa"/>
            <w:vMerge w:val="continue"/>
            <w:tcBorders>
              <w:top w:val="nil"/>
              <w:left w:val="nil"/>
              <w:bottom w:val="single" w:color="000000" w:sz="4" w:space="0"/>
              <w:right w:val="single" w:color="000000" w:sz="4" w:space="0"/>
            </w:tcBorders>
          </w:tcPr>
          <w:p w14:paraId="56051153">
            <w:pPr>
              <w:rPr>
                <w:highlight w:val="none"/>
              </w:rPr>
            </w:pPr>
          </w:p>
        </w:tc>
        <w:tc>
          <w:tcPr>
            <w:tcW w:w="2380" w:type="dxa"/>
            <w:vMerge w:val="continue"/>
            <w:tcBorders>
              <w:top w:val="nil"/>
              <w:left w:val="nil"/>
              <w:bottom w:val="single" w:color="000000" w:sz="4" w:space="0"/>
              <w:right w:val="single" w:color="000000" w:sz="4" w:space="0"/>
            </w:tcBorders>
          </w:tcPr>
          <w:p w14:paraId="5D372CBC">
            <w:pPr>
              <w:rPr>
                <w:highlight w:val="none"/>
              </w:rPr>
            </w:pPr>
          </w:p>
        </w:tc>
      </w:tr>
      <w:tr w14:paraId="636E7F4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0E0D48C3">
            <w:pPr>
              <w:rPr>
                <w:highlight w:val="none"/>
              </w:rPr>
            </w:pPr>
          </w:p>
        </w:tc>
        <w:tc>
          <w:tcPr>
            <w:tcW w:w="701" w:type="dxa"/>
            <w:vMerge w:val="continue"/>
            <w:tcBorders>
              <w:top w:val="nil"/>
              <w:left w:val="nil"/>
              <w:bottom w:val="single" w:color="000000" w:sz="4" w:space="0"/>
              <w:right w:val="single" w:color="000000" w:sz="4" w:space="0"/>
            </w:tcBorders>
          </w:tcPr>
          <w:p w14:paraId="3F0DEB44">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70CFA222">
            <w:pPr>
              <w:pStyle w:val="4"/>
              <w:jc w:val="left"/>
              <w:rPr>
                <w:highlight w:val="none"/>
              </w:rPr>
            </w:pPr>
            <w:r>
              <w:rPr>
                <w:rFonts w:ascii="仿宋_GB2312" w:hAnsi="仿宋_GB2312" w:eastAsia="仿宋_GB2312" w:cs="仿宋_GB2312"/>
                <w:color w:val="000000"/>
                <w:sz w:val="24"/>
                <w:highlight w:val="none"/>
              </w:rPr>
              <w:t>福道园23#学生宿舍楼管</w:t>
            </w:r>
          </w:p>
        </w:tc>
        <w:tc>
          <w:tcPr>
            <w:tcW w:w="2430" w:type="dxa"/>
            <w:vMerge w:val="continue"/>
            <w:tcBorders>
              <w:top w:val="nil"/>
              <w:left w:val="nil"/>
              <w:bottom w:val="single" w:color="000000" w:sz="4" w:space="0"/>
              <w:right w:val="single" w:color="000000" w:sz="4" w:space="0"/>
            </w:tcBorders>
          </w:tcPr>
          <w:p w14:paraId="6631CA36">
            <w:pPr>
              <w:rPr>
                <w:highlight w:val="none"/>
              </w:rPr>
            </w:pPr>
          </w:p>
        </w:tc>
        <w:tc>
          <w:tcPr>
            <w:tcW w:w="2380" w:type="dxa"/>
            <w:vMerge w:val="continue"/>
            <w:tcBorders>
              <w:top w:val="nil"/>
              <w:left w:val="nil"/>
              <w:bottom w:val="single" w:color="000000" w:sz="4" w:space="0"/>
              <w:right w:val="single" w:color="000000" w:sz="4" w:space="0"/>
            </w:tcBorders>
          </w:tcPr>
          <w:p w14:paraId="79F9A0E0">
            <w:pPr>
              <w:rPr>
                <w:highlight w:val="none"/>
              </w:rPr>
            </w:pPr>
          </w:p>
        </w:tc>
      </w:tr>
      <w:tr w14:paraId="3A15A7E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6170CB50">
            <w:pPr>
              <w:rPr>
                <w:highlight w:val="none"/>
              </w:rPr>
            </w:pPr>
          </w:p>
        </w:tc>
        <w:tc>
          <w:tcPr>
            <w:tcW w:w="701" w:type="dxa"/>
            <w:vMerge w:val="continue"/>
            <w:tcBorders>
              <w:top w:val="nil"/>
              <w:left w:val="nil"/>
              <w:bottom w:val="single" w:color="000000" w:sz="4" w:space="0"/>
              <w:right w:val="single" w:color="000000" w:sz="4" w:space="0"/>
            </w:tcBorders>
          </w:tcPr>
          <w:p w14:paraId="453B0116">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24FDD4AE">
            <w:pPr>
              <w:pStyle w:val="4"/>
              <w:jc w:val="left"/>
              <w:rPr>
                <w:highlight w:val="none"/>
              </w:rPr>
            </w:pPr>
            <w:r>
              <w:rPr>
                <w:rFonts w:ascii="仿宋_GB2312" w:hAnsi="仿宋_GB2312" w:eastAsia="仿宋_GB2312" w:cs="仿宋_GB2312"/>
                <w:color w:val="000000"/>
                <w:sz w:val="24"/>
                <w:highlight w:val="none"/>
              </w:rPr>
              <w:t>福道园23#学生宿舍楼管</w:t>
            </w:r>
          </w:p>
        </w:tc>
        <w:tc>
          <w:tcPr>
            <w:tcW w:w="2430" w:type="dxa"/>
            <w:vMerge w:val="continue"/>
            <w:tcBorders>
              <w:top w:val="nil"/>
              <w:left w:val="nil"/>
              <w:bottom w:val="single" w:color="000000" w:sz="4" w:space="0"/>
              <w:right w:val="single" w:color="000000" w:sz="4" w:space="0"/>
            </w:tcBorders>
          </w:tcPr>
          <w:p w14:paraId="3F519647">
            <w:pPr>
              <w:rPr>
                <w:highlight w:val="none"/>
              </w:rPr>
            </w:pPr>
          </w:p>
        </w:tc>
        <w:tc>
          <w:tcPr>
            <w:tcW w:w="2380" w:type="dxa"/>
            <w:vMerge w:val="continue"/>
            <w:tcBorders>
              <w:top w:val="nil"/>
              <w:left w:val="nil"/>
              <w:bottom w:val="single" w:color="000000" w:sz="4" w:space="0"/>
              <w:right w:val="single" w:color="000000" w:sz="4" w:space="0"/>
            </w:tcBorders>
          </w:tcPr>
          <w:p w14:paraId="49C06EFE">
            <w:pPr>
              <w:rPr>
                <w:highlight w:val="none"/>
              </w:rPr>
            </w:pPr>
          </w:p>
        </w:tc>
      </w:tr>
      <w:tr w14:paraId="2BD89E4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20A7A873">
            <w:pPr>
              <w:rPr>
                <w:highlight w:val="none"/>
              </w:rPr>
            </w:pPr>
          </w:p>
        </w:tc>
        <w:tc>
          <w:tcPr>
            <w:tcW w:w="701" w:type="dxa"/>
            <w:vMerge w:val="continue"/>
            <w:tcBorders>
              <w:top w:val="nil"/>
              <w:left w:val="nil"/>
              <w:bottom w:val="single" w:color="000000" w:sz="4" w:space="0"/>
              <w:right w:val="single" w:color="000000" w:sz="4" w:space="0"/>
            </w:tcBorders>
          </w:tcPr>
          <w:p w14:paraId="2FF98C57">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0954ECB9">
            <w:pPr>
              <w:pStyle w:val="4"/>
              <w:jc w:val="left"/>
              <w:rPr>
                <w:highlight w:val="none"/>
              </w:rPr>
            </w:pPr>
            <w:r>
              <w:rPr>
                <w:rFonts w:ascii="仿宋_GB2312" w:hAnsi="仿宋_GB2312" w:eastAsia="仿宋_GB2312" w:cs="仿宋_GB2312"/>
                <w:color w:val="000000"/>
                <w:sz w:val="24"/>
                <w:highlight w:val="none"/>
              </w:rPr>
              <w:t>福道园24#学生宿舍楼管</w:t>
            </w:r>
          </w:p>
        </w:tc>
        <w:tc>
          <w:tcPr>
            <w:tcW w:w="2430" w:type="dxa"/>
            <w:vMerge w:val="continue"/>
            <w:tcBorders>
              <w:top w:val="nil"/>
              <w:left w:val="nil"/>
              <w:bottom w:val="single" w:color="000000" w:sz="4" w:space="0"/>
              <w:right w:val="single" w:color="000000" w:sz="4" w:space="0"/>
            </w:tcBorders>
          </w:tcPr>
          <w:p w14:paraId="75E03CBA">
            <w:pPr>
              <w:rPr>
                <w:highlight w:val="none"/>
              </w:rPr>
            </w:pPr>
          </w:p>
        </w:tc>
        <w:tc>
          <w:tcPr>
            <w:tcW w:w="2380" w:type="dxa"/>
            <w:vMerge w:val="continue"/>
            <w:tcBorders>
              <w:top w:val="nil"/>
              <w:left w:val="nil"/>
              <w:bottom w:val="single" w:color="000000" w:sz="4" w:space="0"/>
              <w:right w:val="single" w:color="000000" w:sz="4" w:space="0"/>
            </w:tcBorders>
          </w:tcPr>
          <w:p w14:paraId="299CE21E">
            <w:pPr>
              <w:rPr>
                <w:highlight w:val="none"/>
              </w:rPr>
            </w:pPr>
          </w:p>
        </w:tc>
      </w:tr>
      <w:tr w14:paraId="002A5E4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0DE9A4A9">
            <w:pPr>
              <w:rPr>
                <w:highlight w:val="none"/>
              </w:rPr>
            </w:pPr>
          </w:p>
        </w:tc>
        <w:tc>
          <w:tcPr>
            <w:tcW w:w="701" w:type="dxa"/>
            <w:vMerge w:val="continue"/>
            <w:tcBorders>
              <w:top w:val="nil"/>
              <w:left w:val="nil"/>
              <w:bottom w:val="single" w:color="000000" w:sz="4" w:space="0"/>
              <w:right w:val="single" w:color="000000" w:sz="4" w:space="0"/>
            </w:tcBorders>
          </w:tcPr>
          <w:p w14:paraId="5B340C78">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0A2B14AB">
            <w:pPr>
              <w:pStyle w:val="4"/>
              <w:jc w:val="left"/>
              <w:rPr>
                <w:highlight w:val="none"/>
              </w:rPr>
            </w:pPr>
            <w:r>
              <w:rPr>
                <w:rFonts w:ascii="仿宋_GB2312" w:hAnsi="仿宋_GB2312" w:eastAsia="仿宋_GB2312" w:cs="仿宋_GB2312"/>
                <w:color w:val="000000"/>
                <w:sz w:val="24"/>
                <w:highlight w:val="none"/>
              </w:rPr>
              <w:t>福道园24#学生宿舍楼管</w:t>
            </w:r>
          </w:p>
        </w:tc>
        <w:tc>
          <w:tcPr>
            <w:tcW w:w="2430" w:type="dxa"/>
            <w:vMerge w:val="continue"/>
            <w:tcBorders>
              <w:top w:val="nil"/>
              <w:left w:val="nil"/>
              <w:bottom w:val="single" w:color="000000" w:sz="4" w:space="0"/>
              <w:right w:val="single" w:color="000000" w:sz="4" w:space="0"/>
            </w:tcBorders>
          </w:tcPr>
          <w:p w14:paraId="0B8BC45C">
            <w:pPr>
              <w:rPr>
                <w:highlight w:val="none"/>
              </w:rPr>
            </w:pPr>
          </w:p>
        </w:tc>
        <w:tc>
          <w:tcPr>
            <w:tcW w:w="2380" w:type="dxa"/>
            <w:vMerge w:val="continue"/>
            <w:tcBorders>
              <w:top w:val="nil"/>
              <w:left w:val="nil"/>
              <w:bottom w:val="single" w:color="000000" w:sz="4" w:space="0"/>
              <w:right w:val="single" w:color="000000" w:sz="4" w:space="0"/>
            </w:tcBorders>
          </w:tcPr>
          <w:p w14:paraId="6E600EDC">
            <w:pPr>
              <w:rPr>
                <w:highlight w:val="none"/>
              </w:rPr>
            </w:pPr>
          </w:p>
        </w:tc>
      </w:tr>
      <w:tr w14:paraId="0203BB3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3231A0B9">
            <w:pPr>
              <w:rPr>
                <w:highlight w:val="none"/>
              </w:rPr>
            </w:pPr>
          </w:p>
        </w:tc>
        <w:tc>
          <w:tcPr>
            <w:tcW w:w="701" w:type="dxa"/>
            <w:vMerge w:val="continue"/>
            <w:tcBorders>
              <w:top w:val="nil"/>
              <w:left w:val="nil"/>
              <w:bottom w:val="single" w:color="000000" w:sz="4" w:space="0"/>
              <w:right w:val="single" w:color="000000" w:sz="4" w:space="0"/>
            </w:tcBorders>
          </w:tcPr>
          <w:p w14:paraId="31F66B3B">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3CAE58D4">
            <w:pPr>
              <w:pStyle w:val="4"/>
              <w:jc w:val="left"/>
              <w:rPr>
                <w:highlight w:val="none"/>
              </w:rPr>
            </w:pPr>
            <w:r>
              <w:rPr>
                <w:rFonts w:ascii="仿宋_GB2312" w:hAnsi="仿宋_GB2312" w:eastAsia="仿宋_GB2312" w:cs="仿宋_GB2312"/>
                <w:color w:val="000000"/>
                <w:sz w:val="24"/>
                <w:highlight w:val="none"/>
              </w:rPr>
              <w:t>福道园25#学生宿舍楼管</w:t>
            </w:r>
          </w:p>
        </w:tc>
        <w:tc>
          <w:tcPr>
            <w:tcW w:w="2430" w:type="dxa"/>
            <w:vMerge w:val="continue"/>
            <w:tcBorders>
              <w:top w:val="nil"/>
              <w:left w:val="nil"/>
              <w:bottom w:val="single" w:color="000000" w:sz="4" w:space="0"/>
              <w:right w:val="single" w:color="000000" w:sz="4" w:space="0"/>
            </w:tcBorders>
          </w:tcPr>
          <w:p w14:paraId="1512F413">
            <w:pPr>
              <w:rPr>
                <w:highlight w:val="none"/>
              </w:rPr>
            </w:pPr>
          </w:p>
        </w:tc>
        <w:tc>
          <w:tcPr>
            <w:tcW w:w="2380" w:type="dxa"/>
            <w:vMerge w:val="continue"/>
            <w:tcBorders>
              <w:top w:val="nil"/>
              <w:left w:val="nil"/>
              <w:bottom w:val="single" w:color="000000" w:sz="4" w:space="0"/>
              <w:right w:val="single" w:color="000000" w:sz="4" w:space="0"/>
            </w:tcBorders>
          </w:tcPr>
          <w:p w14:paraId="68DE0FAC">
            <w:pPr>
              <w:rPr>
                <w:highlight w:val="none"/>
              </w:rPr>
            </w:pPr>
          </w:p>
        </w:tc>
      </w:tr>
      <w:tr w14:paraId="4C202E5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178E1903">
            <w:pPr>
              <w:rPr>
                <w:highlight w:val="none"/>
              </w:rPr>
            </w:pPr>
          </w:p>
        </w:tc>
        <w:tc>
          <w:tcPr>
            <w:tcW w:w="701" w:type="dxa"/>
            <w:vMerge w:val="continue"/>
            <w:tcBorders>
              <w:top w:val="nil"/>
              <w:left w:val="nil"/>
              <w:bottom w:val="single" w:color="000000" w:sz="4" w:space="0"/>
              <w:right w:val="single" w:color="000000" w:sz="4" w:space="0"/>
            </w:tcBorders>
          </w:tcPr>
          <w:p w14:paraId="55958777">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7A235C44">
            <w:pPr>
              <w:pStyle w:val="4"/>
              <w:jc w:val="left"/>
              <w:rPr>
                <w:highlight w:val="none"/>
              </w:rPr>
            </w:pPr>
            <w:r>
              <w:rPr>
                <w:rFonts w:ascii="仿宋_GB2312" w:hAnsi="仿宋_GB2312" w:eastAsia="仿宋_GB2312" w:cs="仿宋_GB2312"/>
                <w:color w:val="000000"/>
                <w:sz w:val="24"/>
                <w:highlight w:val="none"/>
              </w:rPr>
              <w:t>福道园25#学生宿舍楼管</w:t>
            </w:r>
          </w:p>
        </w:tc>
        <w:tc>
          <w:tcPr>
            <w:tcW w:w="2430" w:type="dxa"/>
            <w:vMerge w:val="continue"/>
            <w:tcBorders>
              <w:top w:val="nil"/>
              <w:left w:val="nil"/>
              <w:bottom w:val="single" w:color="000000" w:sz="4" w:space="0"/>
              <w:right w:val="single" w:color="000000" w:sz="4" w:space="0"/>
            </w:tcBorders>
          </w:tcPr>
          <w:p w14:paraId="17F2876E">
            <w:pPr>
              <w:rPr>
                <w:highlight w:val="none"/>
              </w:rPr>
            </w:pPr>
          </w:p>
        </w:tc>
        <w:tc>
          <w:tcPr>
            <w:tcW w:w="2380" w:type="dxa"/>
            <w:vMerge w:val="continue"/>
            <w:tcBorders>
              <w:top w:val="nil"/>
              <w:left w:val="nil"/>
              <w:bottom w:val="single" w:color="000000" w:sz="4" w:space="0"/>
              <w:right w:val="single" w:color="000000" w:sz="4" w:space="0"/>
            </w:tcBorders>
          </w:tcPr>
          <w:p w14:paraId="518170FC">
            <w:pPr>
              <w:rPr>
                <w:highlight w:val="none"/>
              </w:rPr>
            </w:pPr>
          </w:p>
        </w:tc>
      </w:tr>
      <w:tr w14:paraId="696DE7A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0A62CDDD">
            <w:pPr>
              <w:rPr>
                <w:highlight w:val="none"/>
              </w:rPr>
            </w:pPr>
          </w:p>
        </w:tc>
        <w:tc>
          <w:tcPr>
            <w:tcW w:w="701" w:type="dxa"/>
            <w:vMerge w:val="continue"/>
            <w:tcBorders>
              <w:top w:val="nil"/>
              <w:left w:val="nil"/>
              <w:bottom w:val="single" w:color="000000" w:sz="4" w:space="0"/>
              <w:right w:val="single" w:color="000000" w:sz="4" w:space="0"/>
            </w:tcBorders>
          </w:tcPr>
          <w:p w14:paraId="7AF91B4A">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40A80B84">
            <w:pPr>
              <w:pStyle w:val="4"/>
              <w:jc w:val="left"/>
              <w:rPr>
                <w:highlight w:val="none"/>
              </w:rPr>
            </w:pPr>
            <w:r>
              <w:rPr>
                <w:rFonts w:ascii="仿宋_GB2312" w:hAnsi="仿宋_GB2312" w:eastAsia="仿宋_GB2312" w:cs="仿宋_GB2312"/>
                <w:color w:val="000000"/>
                <w:sz w:val="24"/>
                <w:highlight w:val="none"/>
              </w:rPr>
              <w:t>福航园1#学生宿舍楼管</w:t>
            </w:r>
          </w:p>
        </w:tc>
        <w:tc>
          <w:tcPr>
            <w:tcW w:w="2430" w:type="dxa"/>
            <w:vMerge w:val="continue"/>
            <w:tcBorders>
              <w:top w:val="nil"/>
              <w:left w:val="nil"/>
              <w:bottom w:val="single" w:color="000000" w:sz="4" w:space="0"/>
              <w:right w:val="single" w:color="000000" w:sz="4" w:space="0"/>
            </w:tcBorders>
          </w:tcPr>
          <w:p w14:paraId="31CCB2AB">
            <w:pPr>
              <w:rPr>
                <w:highlight w:val="none"/>
              </w:rPr>
            </w:pPr>
          </w:p>
        </w:tc>
        <w:tc>
          <w:tcPr>
            <w:tcW w:w="2380" w:type="dxa"/>
            <w:vMerge w:val="continue"/>
            <w:tcBorders>
              <w:top w:val="nil"/>
              <w:left w:val="nil"/>
              <w:bottom w:val="single" w:color="000000" w:sz="4" w:space="0"/>
              <w:right w:val="single" w:color="000000" w:sz="4" w:space="0"/>
            </w:tcBorders>
          </w:tcPr>
          <w:p w14:paraId="534741A4">
            <w:pPr>
              <w:rPr>
                <w:highlight w:val="none"/>
              </w:rPr>
            </w:pPr>
          </w:p>
        </w:tc>
      </w:tr>
      <w:tr w14:paraId="52CE086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0CF95B2A">
            <w:pPr>
              <w:rPr>
                <w:highlight w:val="none"/>
              </w:rPr>
            </w:pPr>
          </w:p>
        </w:tc>
        <w:tc>
          <w:tcPr>
            <w:tcW w:w="701" w:type="dxa"/>
            <w:vMerge w:val="continue"/>
            <w:tcBorders>
              <w:top w:val="nil"/>
              <w:left w:val="nil"/>
              <w:bottom w:val="single" w:color="000000" w:sz="4" w:space="0"/>
              <w:right w:val="single" w:color="000000" w:sz="4" w:space="0"/>
            </w:tcBorders>
          </w:tcPr>
          <w:p w14:paraId="3BAEAFD8">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0034BADE">
            <w:pPr>
              <w:pStyle w:val="4"/>
              <w:jc w:val="left"/>
              <w:rPr>
                <w:highlight w:val="none"/>
              </w:rPr>
            </w:pPr>
            <w:r>
              <w:rPr>
                <w:rFonts w:ascii="仿宋_GB2312" w:hAnsi="仿宋_GB2312" w:eastAsia="仿宋_GB2312" w:cs="仿宋_GB2312"/>
                <w:color w:val="000000"/>
                <w:sz w:val="24"/>
                <w:highlight w:val="none"/>
              </w:rPr>
              <w:t>福航园1#学生宿舍楼管</w:t>
            </w:r>
          </w:p>
        </w:tc>
        <w:tc>
          <w:tcPr>
            <w:tcW w:w="2430" w:type="dxa"/>
            <w:vMerge w:val="continue"/>
            <w:tcBorders>
              <w:top w:val="nil"/>
              <w:left w:val="nil"/>
              <w:bottom w:val="single" w:color="000000" w:sz="4" w:space="0"/>
              <w:right w:val="single" w:color="000000" w:sz="4" w:space="0"/>
            </w:tcBorders>
          </w:tcPr>
          <w:p w14:paraId="55A6237E">
            <w:pPr>
              <w:rPr>
                <w:highlight w:val="none"/>
              </w:rPr>
            </w:pPr>
          </w:p>
        </w:tc>
        <w:tc>
          <w:tcPr>
            <w:tcW w:w="2380" w:type="dxa"/>
            <w:vMerge w:val="continue"/>
            <w:tcBorders>
              <w:top w:val="nil"/>
              <w:left w:val="nil"/>
              <w:bottom w:val="single" w:color="000000" w:sz="4" w:space="0"/>
              <w:right w:val="single" w:color="000000" w:sz="4" w:space="0"/>
            </w:tcBorders>
          </w:tcPr>
          <w:p w14:paraId="09ACD821">
            <w:pPr>
              <w:rPr>
                <w:highlight w:val="none"/>
              </w:rPr>
            </w:pPr>
          </w:p>
        </w:tc>
      </w:tr>
      <w:tr w14:paraId="5572D9D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55A24732">
            <w:pPr>
              <w:rPr>
                <w:highlight w:val="none"/>
              </w:rPr>
            </w:pPr>
          </w:p>
        </w:tc>
        <w:tc>
          <w:tcPr>
            <w:tcW w:w="701" w:type="dxa"/>
            <w:vMerge w:val="continue"/>
            <w:tcBorders>
              <w:top w:val="nil"/>
              <w:left w:val="nil"/>
              <w:bottom w:val="single" w:color="000000" w:sz="4" w:space="0"/>
              <w:right w:val="single" w:color="000000" w:sz="4" w:space="0"/>
            </w:tcBorders>
          </w:tcPr>
          <w:p w14:paraId="7FD4FBD7">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3D95B697">
            <w:pPr>
              <w:pStyle w:val="4"/>
              <w:jc w:val="left"/>
              <w:rPr>
                <w:highlight w:val="none"/>
              </w:rPr>
            </w:pPr>
            <w:r>
              <w:rPr>
                <w:rFonts w:ascii="仿宋_GB2312" w:hAnsi="仿宋_GB2312" w:eastAsia="仿宋_GB2312" w:cs="仿宋_GB2312"/>
                <w:color w:val="000000"/>
                <w:sz w:val="24"/>
                <w:highlight w:val="none"/>
              </w:rPr>
              <w:t>福航园2#14#学生宿舍楼管</w:t>
            </w:r>
          </w:p>
        </w:tc>
        <w:tc>
          <w:tcPr>
            <w:tcW w:w="2430" w:type="dxa"/>
            <w:vMerge w:val="continue"/>
            <w:tcBorders>
              <w:top w:val="nil"/>
              <w:left w:val="nil"/>
              <w:bottom w:val="single" w:color="000000" w:sz="4" w:space="0"/>
              <w:right w:val="single" w:color="000000" w:sz="4" w:space="0"/>
            </w:tcBorders>
          </w:tcPr>
          <w:p w14:paraId="21AF65DA">
            <w:pPr>
              <w:rPr>
                <w:highlight w:val="none"/>
              </w:rPr>
            </w:pPr>
          </w:p>
        </w:tc>
        <w:tc>
          <w:tcPr>
            <w:tcW w:w="2380" w:type="dxa"/>
            <w:vMerge w:val="continue"/>
            <w:tcBorders>
              <w:top w:val="nil"/>
              <w:left w:val="nil"/>
              <w:bottom w:val="single" w:color="000000" w:sz="4" w:space="0"/>
              <w:right w:val="single" w:color="000000" w:sz="4" w:space="0"/>
            </w:tcBorders>
          </w:tcPr>
          <w:p w14:paraId="5F812A77">
            <w:pPr>
              <w:rPr>
                <w:highlight w:val="none"/>
              </w:rPr>
            </w:pPr>
          </w:p>
        </w:tc>
      </w:tr>
      <w:tr w14:paraId="407820B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43D9B41C">
            <w:pPr>
              <w:rPr>
                <w:highlight w:val="none"/>
              </w:rPr>
            </w:pPr>
          </w:p>
        </w:tc>
        <w:tc>
          <w:tcPr>
            <w:tcW w:w="701" w:type="dxa"/>
            <w:vMerge w:val="continue"/>
            <w:tcBorders>
              <w:top w:val="nil"/>
              <w:left w:val="nil"/>
              <w:bottom w:val="single" w:color="000000" w:sz="4" w:space="0"/>
              <w:right w:val="single" w:color="000000" w:sz="4" w:space="0"/>
            </w:tcBorders>
          </w:tcPr>
          <w:p w14:paraId="63C3F507">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274324AC">
            <w:pPr>
              <w:pStyle w:val="4"/>
              <w:jc w:val="left"/>
              <w:rPr>
                <w:highlight w:val="none"/>
              </w:rPr>
            </w:pPr>
            <w:r>
              <w:rPr>
                <w:rFonts w:ascii="仿宋_GB2312" w:hAnsi="仿宋_GB2312" w:eastAsia="仿宋_GB2312" w:cs="仿宋_GB2312"/>
                <w:color w:val="000000"/>
                <w:sz w:val="24"/>
                <w:highlight w:val="none"/>
              </w:rPr>
              <w:t>福航园2#14#学生宿舍楼管</w:t>
            </w:r>
          </w:p>
        </w:tc>
        <w:tc>
          <w:tcPr>
            <w:tcW w:w="2430" w:type="dxa"/>
            <w:vMerge w:val="continue"/>
            <w:tcBorders>
              <w:top w:val="nil"/>
              <w:left w:val="nil"/>
              <w:bottom w:val="single" w:color="000000" w:sz="4" w:space="0"/>
              <w:right w:val="single" w:color="000000" w:sz="4" w:space="0"/>
            </w:tcBorders>
          </w:tcPr>
          <w:p w14:paraId="3AE50A6E">
            <w:pPr>
              <w:rPr>
                <w:highlight w:val="none"/>
              </w:rPr>
            </w:pPr>
          </w:p>
        </w:tc>
        <w:tc>
          <w:tcPr>
            <w:tcW w:w="2380" w:type="dxa"/>
            <w:vMerge w:val="continue"/>
            <w:tcBorders>
              <w:top w:val="nil"/>
              <w:left w:val="nil"/>
              <w:bottom w:val="single" w:color="000000" w:sz="4" w:space="0"/>
              <w:right w:val="single" w:color="000000" w:sz="4" w:space="0"/>
            </w:tcBorders>
          </w:tcPr>
          <w:p w14:paraId="646F6A2B">
            <w:pPr>
              <w:rPr>
                <w:highlight w:val="none"/>
              </w:rPr>
            </w:pPr>
          </w:p>
        </w:tc>
      </w:tr>
      <w:tr w14:paraId="3BD420E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1A8B85E0">
            <w:pPr>
              <w:rPr>
                <w:highlight w:val="none"/>
              </w:rPr>
            </w:pPr>
          </w:p>
        </w:tc>
        <w:tc>
          <w:tcPr>
            <w:tcW w:w="701" w:type="dxa"/>
            <w:vMerge w:val="continue"/>
            <w:tcBorders>
              <w:top w:val="nil"/>
              <w:left w:val="nil"/>
              <w:bottom w:val="single" w:color="000000" w:sz="4" w:space="0"/>
              <w:right w:val="single" w:color="000000" w:sz="4" w:space="0"/>
            </w:tcBorders>
          </w:tcPr>
          <w:p w14:paraId="2782475C">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109EB0D6">
            <w:pPr>
              <w:pStyle w:val="4"/>
              <w:jc w:val="left"/>
              <w:rPr>
                <w:highlight w:val="none"/>
              </w:rPr>
            </w:pPr>
            <w:r>
              <w:rPr>
                <w:rFonts w:ascii="仿宋_GB2312" w:hAnsi="仿宋_GB2312" w:eastAsia="仿宋_GB2312" w:cs="仿宋_GB2312"/>
                <w:color w:val="000000"/>
                <w:sz w:val="24"/>
                <w:highlight w:val="none"/>
              </w:rPr>
              <w:t>福航园3#学生宿舍楼管</w:t>
            </w:r>
          </w:p>
        </w:tc>
        <w:tc>
          <w:tcPr>
            <w:tcW w:w="2430" w:type="dxa"/>
            <w:vMerge w:val="continue"/>
            <w:tcBorders>
              <w:top w:val="nil"/>
              <w:left w:val="nil"/>
              <w:bottom w:val="single" w:color="000000" w:sz="4" w:space="0"/>
              <w:right w:val="single" w:color="000000" w:sz="4" w:space="0"/>
            </w:tcBorders>
          </w:tcPr>
          <w:p w14:paraId="3E4538A0">
            <w:pPr>
              <w:rPr>
                <w:highlight w:val="none"/>
              </w:rPr>
            </w:pPr>
          </w:p>
        </w:tc>
        <w:tc>
          <w:tcPr>
            <w:tcW w:w="2380" w:type="dxa"/>
            <w:vMerge w:val="continue"/>
            <w:tcBorders>
              <w:top w:val="nil"/>
              <w:left w:val="nil"/>
              <w:bottom w:val="single" w:color="000000" w:sz="4" w:space="0"/>
              <w:right w:val="single" w:color="000000" w:sz="4" w:space="0"/>
            </w:tcBorders>
          </w:tcPr>
          <w:p w14:paraId="3FCA6BF8">
            <w:pPr>
              <w:rPr>
                <w:highlight w:val="none"/>
              </w:rPr>
            </w:pPr>
          </w:p>
        </w:tc>
      </w:tr>
      <w:tr w14:paraId="57E33F6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27ED028D">
            <w:pPr>
              <w:rPr>
                <w:highlight w:val="none"/>
              </w:rPr>
            </w:pPr>
          </w:p>
        </w:tc>
        <w:tc>
          <w:tcPr>
            <w:tcW w:w="701" w:type="dxa"/>
            <w:vMerge w:val="continue"/>
            <w:tcBorders>
              <w:top w:val="nil"/>
              <w:left w:val="nil"/>
              <w:bottom w:val="single" w:color="000000" w:sz="4" w:space="0"/>
              <w:right w:val="single" w:color="000000" w:sz="4" w:space="0"/>
            </w:tcBorders>
          </w:tcPr>
          <w:p w14:paraId="59017877">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1CC47A67">
            <w:pPr>
              <w:pStyle w:val="4"/>
              <w:jc w:val="left"/>
              <w:rPr>
                <w:highlight w:val="none"/>
              </w:rPr>
            </w:pPr>
            <w:r>
              <w:rPr>
                <w:rFonts w:ascii="仿宋_GB2312" w:hAnsi="仿宋_GB2312" w:eastAsia="仿宋_GB2312" w:cs="仿宋_GB2312"/>
                <w:color w:val="000000"/>
                <w:sz w:val="24"/>
                <w:highlight w:val="none"/>
              </w:rPr>
              <w:t>福航园3#学生宿舍楼管</w:t>
            </w:r>
          </w:p>
        </w:tc>
        <w:tc>
          <w:tcPr>
            <w:tcW w:w="2430" w:type="dxa"/>
            <w:vMerge w:val="continue"/>
            <w:tcBorders>
              <w:top w:val="nil"/>
              <w:left w:val="nil"/>
              <w:bottom w:val="single" w:color="000000" w:sz="4" w:space="0"/>
              <w:right w:val="single" w:color="000000" w:sz="4" w:space="0"/>
            </w:tcBorders>
          </w:tcPr>
          <w:p w14:paraId="65F0BF22">
            <w:pPr>
              <w:rPr>
                <w:highlight w:val="none"/>
              </w:rPr>
            </w:pPr>
          </w:p>
        </w:tc>
        <w:tc>
          <w:tcPr>
            <w:tcW w:w="2380" w:type="dxa"/>
            <w:vMerge w:val="continue"/>
            <w:tcBorders>
              <w:top w:val="nil"/>
              <w:left w:val="nil"/>
              <w:bottom w:val="single" w:color="000000" w:sz="4" w:space="0"/>
              <w:right w:val="single" w:color="000000" w:sz="4" w:space="0"/>
            </w:tcBorders>
          </w:tcPr>
          <w:p w14:paraId="6D43B862">
            <w:pPr>
              <w:rPr>
                <w:highlight w:val="none"/>
              </w:rPr>
            </w:pPr>
          </w:p>
        </w:tc>
      </w:tr>
      <w:tr w14:paraId="2D26A6E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4A52F34C">
            <w:pPr>
              <w:rPr>
                <w:highlight w:val="none"/>
              </w:rPr>
            </w:pPr>
          </w:p>
        </w:tc>
        <w:tc>
          <w:tcPr>
            <w:tcW w:w="701" w:type="dxa"/>
            <w:vMerge w:val="continue"/>
            <w:tcBorders>
              <w:top w:val="nil"/>
              <w:left w:val="nil"/>
              <w:bottom w:val="single" w:color="000000" w:sz="4" w:space="0"/>
              <w:right w:val="single" w:color="000000" w:sz="4" w:space="0"/>
            </w:tcBorders>
          </w:tcPr>
          <w:p w14:paraId="0EA3CFAD">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16034B62">
            <w:pPr>
              <w:pStyle w:val="4"/>
              <w:jc w:val="left"/>
              <w:rPr>
                <w:highlight w:val="none"/>
              </w:rPr>
            </w:pPr>
            <w:r>
              <w:rPr>
                <w:rFonts w:ascii="仿宋_GB2312" w:hAnsi="仿宋_GB2312" w:eastAsia="仿宋_GB2312" w:cs="仿宋_GB2312"/>
                <w:color w:val="000000"/>
                <w:sz w:val="24"/>
                <w:highlight w:val="none"/>
              </w:rPr>
              <w:t>福航园5#6#学生宿舍楼管</w:t>
            </w:r>
          </w:p>
        </w:tc>
        <w:tc>
          <w:tcPr>
            <w:tcW w:w="2430" w:type="dxa"/>
            <w:vMerge w:val="continue"/>
            <w:tcBorders>
              <w:top w:val="nil"/>
              <w:left w:val="nil"/>
              <w:bottom w:val="single" w:color="000000" w:sz="4" w:space="0"/>
              <w:right w:val="single" w:color="000000" w:sz="4" w:space="0"/>
            </w:tcBorders>
          </w:tcPr>
          <w:p w14:paraId="30BA185B">
            <w:pPr>
              <w:rPr>
                <w:highlight w:val="none"/>
              </w:rPr>
            </w:pPr>
          </w:p>
        </w:tc>
        <w:tc>
          <w:tcPr>
            <w:tcW w:w="2380" w:type="dxa"/>
            <w:vMerge w:val="continue"/>
            <w:tcBorders>
              <w:top w:val="nil"/>
              <w:left w:val="nil"/>
              <w:bottom w:val="single" w:color="000000" w:sz="4" w:space="0"/>
              <w:right w:val="single" w:color="000000" w:sz="4" w:space="0"/>
            </w:tcBorders>
          </w:tcPr>
          <w:p w14:paraId="1637E87C">
            <w:pPr>
              <w:rPr>
                <w:highlight w:val="none"/>
              </w:rPr>
            </w:pPr>
          </w:p>
        </w:tc>
      </w:tr>
      <w:tr w14:paraId="2CCD1F0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62F59981">
            <w:pPr>
              <w:rPr>
                <w:highlight w:val="none"/>
              </w:rPr>
            </w:pPr>
          </w:p>
        </w:tc>
        <w:tc>
          <w:tcPr>
            <w:tcW w:w="701" w:type="dxa"/>
            <w:vMerge w:val="continue"/>
            <w:tcBorders>
              <w:top w:val="nil"/>
              <w:left w:val="nil"/>
              <w:bottom w:val="single" w:color="000000" w:sz="4" w:space="0"/>
              <w:right w:val="single" w:color="000000" w:sz="4" w:space="0"/>
            </w:tcBorders>
          </w:tcPr>
          <w:p w14:paraId="69A651E0">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591637DE">
            <w:pPr>
              <w:pStyle w:val="4"/>
              <w:jc w:val="left"/>
              <w:rPr>
                <w:highlight w:val="none"/>
              </w:rPr>
            </w:pPr>
            <w:r>
              <w:rPr>
                <w:rFonts w:ascii="仿宋_GB2312" w:hAnsi="仿宋_GB2312" w:eastAsia="仿宋_GB2312" w:cs="仿宋_GB2312"/>
                <w:color w:val="000000"/>
                <w:sz w:val="24"/>
                <w:highlight w:val="none"/>
              </w:rPr>
              <w:t>福航园5#6#学生宿舍楼管</w:t>
            </w:r>
          </w:p>
        </w:tc>
        <w:tc>
          <w:tcPr>
            <w:tcW w:w="2430" w:type="dxa"/>
            <w:vMerge w:val="continue"/>
            <w:tcBorders>
              <w:top w:val="nil"/>
              <w:left w:val="nil"/>
              <w:bottom w:val="single" w:color="000000" w:sz="4" w:space="0"/>
              <w:right w:val="single" w:color="000000" w:sz="4" w:space="0"/>
            </w:tcBorders>
          </w:tcPr>
          <w:p w14:paraId="0C0F0566">
            <w:pPr>
              <w:rPr>
                <w:highlight w:val="none"/>
              </w:rPr>
            </w:pPr>
          </w:p>
        </w:tc>
        <w:tc>
          <w:tcPr>
            <w:tcW w:w="2380" w:type="dxa"/>
            <w:vMerge w:val="continue"/>
            <w:tcBorders>
              <w:top w:val="nil"/>
              <w:left w:val="nil"/>
              <w:bottom w:val="single" w:color="000000" w:sz="4" w:space="0"/>
              <w:right w:val="single" w:color="000000" w:sz="4" w:space="0"/>
            </w:tcBorders>
          </w:tcPr>
          <w:p w14:paraId="1C9E756E">
            <w:pPr>
              <w:rPr>
                <w:highlight w:val="none"/>
              </w:rPr>
            </w:pPr>
          </w:p>
        </w:tc>
      </w:tr>
      <w:tr w14:paraId="2C78E1C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1FEE4730">
            <w:pPr>
              <w:rPr>
                <w:highlight w:val="none"/>
              </w:rPr>
            </w:pPr>
          </w:p>
        </w:tc>
        <w:tc>
          <w:tcPr>
            <w:tcW w:w="701" w:type="dxa"/>
            <w:vMerge w:val="continue"/>
            <w:tcBorders>
              <w:top w:val="nil"/>
              <w:left w:val="nil"/>
              <w:bottom w:val="single" w:color="000000" w:sz="4" w:space="0"/>
              <w:right w:val="single" w:color="000000" w:sz="4" w:space="0"/>
            </w:tcBorders>
          </w:tcPr>
          <w:p w14:paraId="4240DADB">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71D80D9F">
            <w:pPr>
              <w:pStyle w:val="4"/>
              <w:jc w:val="left"/>
              <w:rPr>
                <w:highlight w:val="none"/>
              </w:rPr>
            </w:pPr>
            <w:r>
              <w:rPr>
                <w:rFonts w:ascii="仿宋_GB2312" w:hAnsi="仿宋_GB2312" w:eastAsia="仿宋_GB2312" w:cs="仿宋_GB2312"/>
                <w:color w:val="000000"/>
                <w:sz w:val="24"/>
                <w:highlight w:val="none"/>
              </w:rPr>
              <w:t>福航园7#4#15#16学生宿舍楼管</w:t>
            </w:r>
          </w:p>
        </w:tc>
        <w:tc>
          <w:tcPr>
            <w:tcW w:w="2430" w:type="dxa"/>
            <w:vMerge w:val="continue"/>
            <w:tcBorders>
              <w:top w:val="nil"/>
              <w:left w:val="nil"/>
              <w:bottom w:val="single" w:color="000000" w:sz="4" w:space="0"/>
              <w:right w:val="single" w:color="000000" w:sz="4" w:space="0"/>
            </w:tcBorders>
          </w:tcPr>
          <w:p w14:paraId="422B0C4D">
            <w:pPr>
              <w:rPr>
                <w:highlight w:val="none"/>
              </w:rPr>
            </w:pPr>
          </w:p>
        </w:tc>
        <w:tc>
          <w:tcPr>
            <w:tcW w:w="2380" w:type="dxa"/>
            <w:vMerge w:val="continue"/>
            <w:tcBorders>
              <w:top w:val="nil"/>
              <w:left w:val="nil"/>
              <w:bottom w:val="single" w:color="000000" w:sz="4" w:space="0"/>
              <w:right w:val="single" w:color="000000" w:sz="4" w:space="0"/>
            </w:tcBorders>
          </w:tcPr>
          <w:p w14:paraId="51701398">
            <w:pPr>
              <w:rPr>
                <w:highlight w:val="none"/>
              </w:rPr>
            </w:pPr>
          </w:p>
        </w:tc>
      </w:tr>
      <w:tr w14:paraId="54A3203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69D7254C">
            <w:pPr>
              <w:rPr>
                <w:highlight w:val="none"/>
              </w:rPr>
            </w:pPr>
          </w:p>
        </w:tc>
        <w:tc>
          <w:tcPr>
            <w:tcW w:w="701" w:type="dxa"/>
            <w:vMerge w:val="continue"/>
            <w:tcBorders>
              <w:top w:val="nil"/>
              <w:left w:val="nil"/>
              <w:bottom w:val="single" w:color="000000" w:sz="4" w:space="0"/>
              <w:right w:val="single" w:color="000000" w:sz="4" w:space="0"/>
            </w:tcBorders>
          </w:tcPr>
          <w:p w14:paraId="3D4F66D8">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0FED295F">
            <w:pPr>
              <w:pStyle w:val="4"/>
              <w:jc w:val="left"/>
              <w:rPr>
                <w:highlight w:val="none"/>
              </w:rPr>
            </w:pPr>
            <w:r>
              <w:rPr>
                <w:rFonts w:ascii="仿宋_GB2312" w:hAnsi="仿宋_GB2312" w:eastAsia="仿宋_GB2312" w:cs="仿宋_GB2312"/>
                <w:color w:val="000000"/>
                <w:sz w:val="24"/>
                <w:highlight w:val="none"/>
              </w:rPr>
              <w:t>福航园7#4#15#16宿学生宿舍楼管</w:t>
            </w:r>
          </w:p>
        </w:tc>
        <w:tc>
          <w:tcPr>
            <w:tcW w:w="2430" w:type="dxa"/>
            <w:vMerge w:val="continue"/>
            <w:tcBorders>
              <w:top w:val="nil"/>
              <w:left w:val="nil"/>
              <w:bottom w:val="single" w:color="000000" w:sz="4" w:space="0"/>
              <w:right w:val="single" w:color="000000" w:sz="4" w:space="0"/>
            </w:tcBorders>
          </w:tcPr>
          <w:p w14:paraId="44479BCC">
            <w:pPr>
              <w:rPr>
                <w:highlight w:val="none"/>
              </w:rPr>
            </w:pPr>
          </w:p>
        </w:tc>
        <w:tc>
          <w:tcPr>
            <w:tcW w:w="2380" w:type="dxa"/>
            <w:vMerge w:val="continue"/>
            <w:tcBorders>
              <w:top w:val="nil"/>
              <w:left w:val="nil"/>
              <w:bottom w:val="single" w:color="000000" w:sz="4" w:space="0"/>
              <w:right w:val="single" w:color="000000" w:sz="4" w:space="0"/>
            </w:tcBorders>
          </w:tcPr>
          <w:p w14:paraId="23B479A4">
            <w:pPr>
              <w:rPr>
                <w:highlight w:val="none"/>
              </w:rPr>
            </w:pPr>
          </w:p>
        </w:tc>
      </w:tr>
      <w:tr w14:paraId="608BB5B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4FBABCF8">
            <w:pPr>
              <w:rPr>
                <w:highlight w:val="none"/>
              </w:rPr>
            </w:pPr>
          </w:p>
        </w:tc>
        <w:tc>
          <w:tcPr>
            <w:tcW w:w="701" w:type="dxa"/>
            <w:vMerge w:val="continue"/>
            <w:tcBorders>
              <w:top w:val="nil"/>
              <w:left w:val="nil"/>
              <w:bottom w:val="single" w:color="000000" w:sz="4" w:space="0"/>
              <w:right w:val="single" w:color="000000" w:sz="4" w:space="0"/>
            </w:tcBorders>
          </w:tcPr>
          <w:p w14:paraId="6EA0A2AB">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28DE6A57">
            <w:pPr>
              <w:pStyle w:val="4"/>
              <w:jc w:val="left"/>
              <w:rPr>
                <w:highlight w:val="none"/>
              </w:rPr>
            </w:pPr>
            <w:r>
              <w:rPr>
                <w:rFonts w:ascii="仿宋_GB2312" w:hAnsi="仿宋_GB2312" w:eastAsia="仿宋_GB2312" w:cs="仿宋_GB2312"/>
                <w:color w:val="000000"/>
                <w:sz w:val="24"/>
                <w:highlight w:val="none"/>
              </w:rPr>
              <w:t>福航园9#10#11#学生宿舍楼管</w:t>
            </w:r>
          </w:p>
        </w:tc>
        <w:tc>
          <w:tcPr>
            <w:tcW w:w="2430" w:type="dxa"/>
            <w:vMerge w:val="continue"/>
            <w:tcBorders>
              <w:top w:val="nil"/>
              <w:left w:val="nil"/>
              <w:bottom w:val="single" w:color="000000" w:sz="4" w:space="0"/>
              <w:right w:val="single" w:color="000000" w:sz="4" w:space="0"/>
            </w:tcBorders>
          </w:tcPr>
          <w:p w14:paraId="48E2928B">
            <w:pPr>
              <w:rPr>
                <w:highlight w:val="none"/>
              </w:rPr>
            </w:pPr>
          </w:p>
        </w:tc>
        <w:tc>
          <w:tcPr>
            <w:tcW w:w="2380" w:type="dxa"/>
            <w:vMerge w:val="continue"/>
            <w:tcBorders>
              <w:top w:val="nil"/>
              <w:left w:val="nil"/>
              <w:bottom w:val="single" w:color="000000" w:sz="4" w:space="0"/>
              <w:right w:val="single" w:color="000000" w:sz="4" w:space="0"/>
            </w:tcBorders>
          </w:tcPr>
          <w:p w14:paraId="70CAB589">
            <w:pPr>
              <w:rPr>
                <w:highlight w:val="none"/>
              </w:rPr>
            </w:pPr>
          </w:p>
        </w:tc>
      </w:tr>
      <w:tr w14:paraId="64FBE86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6D5F3D79">
            <w:pPr>
              <w:rPr>
                <w:highlight w:val="none"/>
              </w:rPr>
            </w:pPr>
          </w:p>
        </w:tc>
        <w:tc>
          <w:tcPr>
            <w:tcW w:w="701" w:type="dxa"/>
            <w:vMerge w:val="continue"/>
            <w:tcBorders>
              <w:top w:val="nil"/>
              <w:left w:val="nil"/>
              <w:bottom w:val="single" w:color="000000" w:sz="4" w:space="0"/>
              <w:right w:val="single" w:color="000000" w:sz="4" w:space="0"/>
            </w:tcBorders>
          </w:tcPr>
          <w:p w14:paraId="481FEB99">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5F20AD3F">
            <w:pPr>
              <w:pStyle w:val="4"/>
              <w:jc w:val="left"/>
              <w:rPr>
                <w:highlight w:val="none"/>
              </w:rPr>
            </w:pPr>
            <w:r>
              <w:rPr>
                <w:rFonts w:ascii="仿宋_GB2312" w:hAnsi="仿宋_GB2312" w:eastAsia="仿宋_GB2312" w:cs="仿宋_GB2312"/>
                <w:color w:val="000000"/>
                <w:sz w:val="24"/>
                <w:highlight w:val="none"/>
              </w:rPr>
              <w:t>福航园9#10#11#学生宿舍楼管</w:t>
            </w:r>
          </w:p>
        </w:tc>
        <w:tc>
          <w:tcPr>
            <w:tcW w:w="2430" w:type="dxa"/>
            <w:vMerge w:val="continue"/>
            <w:tcBorders>
              <w:top w:val="nil"/>
              <w:left w:val="nil"/>
              <w:bottom w:val="single" w:color="000000" w:sz="4" w:space="0"/>
              <w:right w:val="single" w:color="000000" w:sz="4" w:space="0"/>
            </w:tcBorders>
          </w:tcPr>
          <w:p w14:paraId="2B806D37">
            <w:pPr>
              <w:rPr>
                <w:highlight w:val="none"/>
              </w:rPr>
            </w:pPr>
          </w:p>
        </w:tc>
        <w:tc>
          <w:tcPr>
            <w:tcW w:w="2380" w:type="dxa"/>
            <w:vMerge w:val="continue"/>
            <w:tcBorders>
              <w:top w:val="nil"/>
              <w:left w:val="nil"/>
              <w:bottom w:val="single" w:color="000000" w:sz="4" w:space="0"/>
              <w:right w:val="single" w:color="000000" w:sz="4" w:space="0"/>
            </w:tcBorders>
          </w:tcPr>
          <w:p w14:paraId="2B1CB127">
            <w:pPr>
              <w:rPr>
                <w:highlight w:val="none"/>
              </w:rPr>
            </w:pPr>
          </w:p>
        </w:tc>
      </w:tr>
      <w:tr w14:paraId="4380C1D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192B795E">
            <w:pPr>
              <w:rPr>
                <w:highlight w:val="none"/>
              </w:rPr>
            </w:pPr>
          </w:p>
        </w:tc>
        <w:tc>
          <w:tcPr>
            <w:tcW w:w="701" w:type="dxa"/>
            <w:vMerge w:val="continue"/>
            <w:tcBorders>
              <w:top w:val="nil"/>
              <w:left w:val="nil"/>
              <w:bottom w:val="single" w:color="000000" w:sz="4" w:space="0"/>
              <w:right w:val="single" w:color="000000" w:sz="4" w:space="0"/>
            </w:tcBorders>
          </w:tcPr>
          <w:p w14:paraId="3549B8B3">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50BC88FC">
            <w:pPr>
              <w:pStyle w:val="4"/>
              <w:jc w:val="left"/>
              <w:rPr>
                <w:highlight w:val="none"/>
              </w:rPr>
            </w:pPr>
            <w:r>
              <w:rPr>
                <w:rFonts w:ascii="仿宋_GB2312" w:hAnsi="仿宋_GB2312" w:eastAsia="仿宋_GB2312" w:cs="仿宋_GB2312"/>
                <w:color w:val="000000"/>
                <w:sz w:val="24"/>
                <w:highlight w:val="none"/>
              </w:rPr>
              <w:t>福船园32#学生宿舍楼管</w:t>
            </w:r>
          </w:p>
        </w:tc>
        <w:tc>
          <w:tcPr>
            <w:tcW w:w="2430" w:type="dxa"/>
            <w:vMerge w:val="continue"/>
            <w:tcBorders>
              <w:top w:val="nil"/>
              <w:left w:val="nil"/>
              <w:bottom w:val="single" w:color="000000" w:sz="4" w:space="0"/>
              <w:right w:val="single" w:color="000000" w:sz="4" w:space="0"/>
            </w:tcBorders>
          </w:tcPr>
          <w:p w14:paraId="4E1D71F9">
            <w:pPr>
              <w:rPr>
                <w:highlight w:val="none"/>
              </w:rPr>
            </w:pPr>
          </w:p>
        </w:tc>
        <w:tc>
          <w:tcPr>
            <w:tcW w:w="2380" w:type="dxa"/>
            <w:vMerge w:val="continue"/>
            <w:tcBorders>
              <w:top w:val="nil"/>
              <w:left w:val="nil"/>
              <w:bottom w:val="single" w:color="000000" w:sz="4" w:space="0"/>
              <w:right w:val="single" w:color="000000" w:sz="4" w:space="0"/>
            </w:tcBorders>
          </w:tcPr>
          <w:p w14:paraId="3C7B92BA">
            <w:pPr>
              <w:rPr>
                <w:highlight w:val="none"/>
              </w:rPr>
            </w:pPr>
          </w:p>
        </w:tc>
      </w:tr>
      <w:tr w14:paraId="69A8901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1BF524FD">
            <w:pPr>
              <w:rPr>
                <w:highlight w:val="none"/>
              </w:rPr>
            </w:pPr>
          </w:p>
        </w:tc>
        <w:tc>
          <w:tcPr>
            <w:tcW w:w="701" w:type="dxa"/>
            <w:vMerge w:val="continue"/>
            <w:tcBorders>
              <w:top w:val="nil"/>
              <w:left w:val="nil"/>
              <w:bottom w:val="single" w:color="000000" w:sz="4" w:space="0"/>
              <w:right w:val="single" w:color="000000" w:sz="4" w:space="0"/>
            </w:tcBorders>
          </w:tcPr>
          <w:p w14:paraId="4DFDB6AD">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0E368895">
            <w:pPr>
              <w:pStyle w:val="4"/>
              <w:jc w:val="left"/>
              <w:rPr>
                <w:highlight w:val="none"/>
              </w:rPr>
            </w:pPr>
            <w:r>
              <w:rPr>
                <w:rFonts w:ascii="仿宋_GB2312" w:hAnsi="仿宋_GB2312" w:eastAsia="仿宋_GB2312" w:cs="仿宋_GB2312"/>
                <w:color w:val="000000"/>
                <w:sz w:val="24"/>
                <w:highlight w:val="none"/>
              </w:rPr>
              <w:t>福船园32#学生宿舍楼管</w:t>
            </w:r>
          </w:p>
        </w:tc>
        <w:tc>
          <w:tcPr>
            <w:tcW w:w="2430" w:type="dxa"/>
            <w:vMerge w:val="continue"/>
            <w:tcBorders>
              <w:top w:val="nil"/>
              <w:left w:val="nil"/>
              <w:bottom w:val="single" w:color="000000" w:sz="4" w:space="0"/>
              <w:right w:val="single" w:color="000000" w:sz="4" w:space="0"/>
            </w:tcBorders>
          </w:tcPr>
          <w:p w14:paraId="11FC662B">
            <w:pPr>
              <w:rPr>
                <w:highlight w:val="none"/>
              </w:rPr>
            </w:pPr>
          </w:p>
        </w:tc>
        <w:tc>
          <w:tcPr>
            <w:tcW w:w="2380" w:type="dxa"/>
            <w:vMerge w:val="continue"/>
            <w:tcBorders>
              <w:top w:val="nil"/>
              <w:left w:val="nil"/>
              <w:bottom w:val="single" w:color="000000" w:sz="4" w:space="0"/>
              <w:right w:val="single" w:color="000000" w:sz="4" w:space="0"/>
            </w:tcBorders>
          </w:tcPr>
          <w:p w14:paraId="5075B132">
            <w:pPr>
              <w:rPr>
                <w:highlight w:val="none"/>
              </w:rPr>
            </w:pPr>
          </w:p>
        </w:tc>
      </w:tr>
      <w:tr w14:paraId="3742C4C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1CCF1E94">
            <w:pPr>
              <w:rPr>
                <w:highlight w:val="none"/>
              </w:rPr>
            </w:pPr>
          </w:p>
        </w:tc>
        <w:tc>
          <w:tcPr>
            <w:tcW w:w="701" w:type="dxa"/>
            <w:vMerge w:val="continue"/>
            <w:tcBorders>
              <w:top w:val="nil"/>
              <w:left w:val="nil"/>
              <w:bottom w:val="single" w:color="000000" w:sz="4" w:space="0"/>
              <w:right w:val="single" w:color="000000" w:sz="4" w:space="0"/>
            </w:tcBorders>
          </w:tcPr>
          <w:p w14:paraId="67D9D207">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54A8DB2F">
            <w:pPr>
              <w:pStyle w:val="4"/>
              <w:jc w:val="left"/>
              <w:rPr>
                <w:highlight w:val="none"/>
              </w:rPr>
            </w:pPr>
            <w:r>
              <w:rPr>
                <w:rFonts w:ascii="仿宋_GB2312" w:hAnsi="仿宋_GB2312" w:eastAsia="仿宋_GB2312" w:cs="仿宋_GB2312"/>
                <w:color w:val="000000"/>
                <w:sz w:val="24"/>
                <w:highlight w:val="none"/>
              </w:rPr>
              <w:t>福船园33#34#学生宿舍楼管</w:t>
            </w:r>
          </w:p>
        </w:tc>
        <w:tc>
          <w:tcPr>
            <w:tcW w:w="2430" w:type="dxa"/>
            <w:vMerge w:val="continue"/>
            <w:tcBorders>
              <w:top w:val="nil"/>
              <w:left w:val="nil"/>
              <w:bottom w:val="single" w:color="000000" w:sz="4" w:space="0"/>
              <w:right w:val="single" w:color="000000" w:sz="4" w:space="0"/>
            </w:tcBorders>
          </w:tcPr>
          <w:p w14:paraId="2B86B560">
            <w:pPr>
              <w:rPr>
                <w:highlight w:val="none"/>
              </w:rPr>
            </w:pPr>
          </w:p>
        </w:tc>
        <w:tc>
          <w:tcPr>
            <w:tcW w:w="2380" w:type="dxa"/>
            <w:vMerge w:val="continue"/>
            <w:tcBorders>
              <w:top w:val="nil"/>
              <w:left w:val="nil"/>
              <w:bottom w:val="single" w:color="000000" w:sz="4" w:space="0"/>
              <w:right w:val="single" w:color="000000" w:sz="4" w:space="0"/>
            </w:tcBorders>
          </w:tcPr>
          <w:p w14:paraId="42876553">
            <w:pPr>
              <w:rPr>
                <w:highlight w:val="none"/>
              </w:rPr>
            </w:pPr>
          </w:p>
        </w:tc>
      </w:tr>
      <w:tr w14:paraId="630578F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434CCFC9">
            <w:pPr>
              <w:rPr>
                <w:highlight w:val="none"/>
              </w:rPr>
            </w:pPr>
          </w:p>
        </w:tc>
        <w:tc>
          <w:tcPr>
            <w:tcW w:w="701" w:type="dxa"/>
            <w:vMerge w:val="continue"/>
            <w:tcBorders>
              <w:top w:val="nil"/>
              <w:left w:val="nil"/>
              <w:bottom w:val="single" w:color="000000" w:sz="4" w:space="0"/>
              <w:right w:val="single" w:color="000000" w:sz="4" w:space="0"/>
            </w:tcBorders>
          </w:tcPr>
          <w:p w14:paraId="245DA087">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489D3594">
            <w:pPr>
              <w:pStyle w:val="4"/>
              <w:jc w:val="left"/>
              <w:rPr>
                <w:highlight w:val="none"/>
              </w:rPr>
            </w:pPr>
            <w:r>
              <w:rPr>
                <w:rFonts w:ascii="仿宋_GB2312" w:hAnsi="仿宋_GB2312" w:eastAsia="仿宋_GB2312" w:cs="仿宋_GB2312"/>
                <w:color w:val="000000"/>
                <w:sz w:val="24"/>
                <w:highlight w:val="none"/>
              </w:rPr>
              <w:t>福船园33#34#学生宿舍楼管</w:t>
            </w:r>
          </w:p>
        </w:tc>
        <w:tc>
          <w:tcPr>
            <w:tcW w:w="2430" w:type="dxa"/>
            <w:vMerge w:val="continue"/>
            <w:tcBorders>
              <w:top w:val="nil"/>
              <w:left w:val="nil"/>
              <w:bottom w:val="single" w:color="000000" w:sz="4" w:space="0"/>
              <w:right w:val="single" w:color="000000" w:sz="4" w:space="0"/>
            </w:tcBorders>
          </w:tcPr>
          <w:p w14:paraId="3CA4118D">
            <w:pPr>
              <w:rPr>
                <w:highlight w:val="none"/>
              </w:rPr>
            </w:pPr>
          </w:p>
        </w:tc>
        <w:tc>
          <w:tcPr>
            <w:tcW w:w="2380" w:type="dxa"/>
            <w:vMerge w:val="continue"/>
            <w:tcBorders>
              <w:top w:val="nil"/>
              <w:left w:val="nil"/>
              <w:bottom w:val="single" w:color="000000" w:sz="4" w:space="0"/>
              <w:right w:val="single" w:color="000000" w:sz="4" w:space="0"/>
            </w:tcBorders>
          </w:tcPr>
          <w:p w14:paraId="5D457513">
            <w:pPr>
              <w:rPr>
                <w:highlight w:val="none"/>
              </w:rPr>
            </w:pPr>
          </w:p>
        </w:tc>
      </w:tr>
      <w:tr w14:paraId="758AE9C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5EEB9D83">
            <w:pPr>
              <w:rPr>
                <w:highlight w:val="none"/>
              </w:rPr>
            </w:pPr>
          </w:p>
        </w:tc>
        <w:tc>
          <w:tcPr>
            <w:tcW w:w="701" w:type="dxa"/>
            <w:vMerge w:val="continue"/>
            <w:tcBorders>
              <w:top w:val="nil"/>
              <w:left w:val="nil"/>
              <w:bottom w:val="single" w:color="000000" w:sz="4" w:space="0"/>
              <w:right w:val="single" w:color="000000" w:sz="4" w:space="0"/>
            </w:tcBorders>
          </w:tcPr>
          <w:p w14:paraId="624AC330">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5516C195">
            <w:pPr>
              <w:pStyle w:val="4"/>
              <w:jc w:val="left"/>
              <w:rPr>
                <w:highlight w:val="none"/>
              </w:rPr>
            </w:pPr>
            <w:r>
              <w:rPr>
                <w:rFonts w:ascii="仿宋_GB2312" w:hAnsi="仿宋_GB2312" w:eastAsia="仿宋_GB2312" w:cs="仿宋_GB2312"/>
                <w:color w:val="000000"/>
                <w:sz w:val="24"/>
                <w:highlight w:val="none"/>
              </w:rPr>
              <w:t>福船园37#学生宿舍楼管</w:t>
            </w:r>
          </w:p>
        </w:tc>
        <w:tc>
          <w:tcPr>
            <w:tcW w:w="2430" w:type="dxa"/>
            <w:vMerge w:val="continue"/>
            <w:tcBorders>
              <w:top w:val="nil"/>
              <w:left w:val="nil"/>
              <w:bottom w:val="single" w:color="000000" w:sz="4" w:space="0"/>
              <w:right w:val="single" w:color="000000" w:sz="4" w:space="0"/>
            </w:tcBorders>
          </w:tcPr>
          <w:p w14:paraId="5E1921F9">
            <w:pPr>
              <w:rPr>
                <w:highlight w:val="none"/>
              </w:rPr>
            </w:pPr>
          </w:p>
        </w:tc>
        <w:tc>
          <w:tcPr>
            <w:tcW w:w="2380" w:type="dxa"/>
            <w:vMerge w:val="continue"/>
            <w:tcBorders>
              <w:top w:val="nil"/>
              <w:left w:val="nil"/>
              <w:bottom w:val="single" w:color="000000" w:sz="4" w:space="0"/>
              <w:right w:val="single" w:color="000000" w:sz="4" w:space="0"/>
            </w:tcBorders>
          </w:tcPr>
          <w:p w14:paraId="4B1F8445">
            <w:pPr>
              <w:rPr>
                <w:highlight w:val="none"/>
              </w:rPr>
            </w:pPr>
          </w:p>
        </w:tc>
      </w:tr>
      <w:tr w14:paraId="6864063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5B127A42">
            <w:pPr>
              <w:rPr>
                <w:highlight w:val="none"/>
              </w:rPr>
            </w:pPr>
          </w:p>
        </w:tc>
        <w:tc>
          <w:tcPr>
            <w:tcW w:w="701" w:type="dxa"/>
            <w:vMerge w:val="continue"/>
            <w:tcBorders>
              <w:top w:val="nil"/>
              <w:left w:val="nil"/>
              <w:bottom w:val="single" w:color="000000" w:sz="4" w:space="0"/>
              <w:right w:val="single" w:color="000000" w:sz="4" w:space="0"/>
            </w:tcBorders>
          </w:tcPr>
          <w:p w14:paraId="26DB5BE8">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0D4B9589">
            <w:pPr>
              <w:pStyle w:val="4"/>
              <w:jc w:val="left"/>
              <w:rPr>
                <w:highlight w:val="none"/>
              </w:rPr>
            </w:pPr>
            <w:r>
              <w:rPr>
                <w:rFonts w:ascii="仿宋_GB2312" w:hAnsi="仿宋_GB2312" w:eastAsia="仿宋_GB2312" w:cs="仿宋_GB2312"/>
                <w:color w:val="000000"/>
                <w:sz w:val="24"/>
                <w:highlight w:val="none"/>
              </w:rPr>
              <w:t>福船园37#学生宿舍楼管</w:t>
            </w:r>
          </w:p>
        </w:tc>
        <w:tc>
          <w:tcPr>
            <w:tcW w:w="2430" w:type="dxa"/>
            <w:vMerge w:val="continue"/>
            <w:tcBorders>
              <w:top w:val="nil"/>
              <w:left w:val="nil"/>
              <w:bottom w:val="single" w:color="000000" w:sz="4" w:space="0"/>
              <w:right w:val="single" w:color="000000" w:sz="4" w:space="0"/>
            </w:tcBorders>
          </w:tcPr>
          <w:p w14:paraId="084E999E">
            <w:pPr>
              <w:rPr>
                <w:highlight w:val="none"/>
              </w:rPr>
            </w:pPr>
          </w:p>
        </w:tc>
        <w:tc>
          <w:tcPr>
            <w:tcW w:w="2380" w:type="dxa"/>
            <w:vMerge w:val="continue"/>
            <w:tcBorders>
              <w:top w:val="nil"/>
              <w:left w:val="nil"/>
              <w:bottom w:val="single" w:color="000000" w:sz="4" w:space="0"/>
              <w:right w:val="single" w:color="000000" w:sz="4" w:space="0"/>
            </w:tcBorders>
          </w:tcPr>
          <w:p w14:paraId="4BB94BFF">
            <w:pPr>
              <w:rPr>
                <w:highlight w:val="none"/>
              </w:rPr>
            </w:pPr>
          </w:p>
        </w:tc>
      </w:tr>
      <w:tr w14:paraId="2522979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35E7B37B">
            <w:pPr>
              <w:rPr>
                <w:highlight w:val="none"/>
              </w:rPr>
            </w:pPr>
          </w:p>
        </w:tc>
        <w:tc>
          <w:tcPr>
            <w:tcW w:w="701" w:type="dxa"/>
            <w:vMerge w:val="continue"/>
            <w:tcBorders>
              <w:top w:val="nil"/>
              <w:left w:val="nil"/>
              <w:bottom w:val="single" w:color="000000" w:sz="4" w:space="0"/>
              <w:right w:val="single" w:color="000000" w:sz="4" w:space="0"/>
            </w:tcBorders>
          </w:tcPr>
          <w:p w14:paraId="0F339EA2">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389441FE">
            <w:pPr>
              <w:pStyle w:val="4"/>
              <w:jc w:val="left"/>
              <w:rPr>
                <w:highlight w:val="none"/>
              </w:rPr>
            </w:pPr>
            <w:r>
              <w:rPr>
                <w:rFonts w:ascii="仿宋_GB2312" w:hAnsi="仿宋_GB2312" w:eastAsia="仿宋_GB2312" w:cs="仿宋_GB2312"/>
                <w:color w:val="000000"/>
                <w:sz w:val="24"/>
                <w:highlight w:val="none"/>
              </w:rPr>
              <w:t>福船园38#学生宿舍楼管</w:t>
            </w:r>
          </w:p>
        </w:tc>
        <w:tc>
          <w:tcPr>
            <w:tcW w:w="2430" w:type="dxa"/>
            <w:vMerge w:val="continue"/>
            <w:tcBorders>
              <w:top w:val="nil"/>
              <w:left w:val="nil"/>
              <w:bottom w:val="single" w:color="000000" w:sz="4" w:space="0"/>
              <w:right w:val="single" w:color="000000" w:sz="4" w:space="0"/>
            </w:tcBorders>
          </w:tcPr>
          <w:p w14:paraId="576FB85E">
            <w:pPr>
              <w:rPr>
                <w:highlight w:val="none"/>
              </w:rPr>
            </w:pPr>
          </w:p>
        </w:tc>
        <w:tc>
          <w:tcPr>
            <w:tcW w:w="2380" w:type="dxa"/>
            <w:vMerge w:val="continue"/>
            <w:tcBorders>
              <w:top w:val="nil"/>
              <w:left w:val="nil"/>
              <w:bottom w:val="single" w:color="000000" w:sz="4" w:space="0"/>
              <w:right w:val="single" w:color="000000" w:sz="4" w:space="0"/>
            </w:tcBorders>
          </w:tcPr>
          <w:p w14:paraId="464B57B8">
            <w:pPr>
              <w:rPr>
                <w:highlight w:val="none"/>
              </w:rPr>
            </w:pPr>
          </w:p>
        </w:tc>
      </w:tr>
      <w:tr w14:paraId="02AA466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72B57905">
            <w:pPr>
              <w:rPr>
                <w:highlight w:val="none"/>
              </w:rPr>
            </w:pPr>
          </w:p>
        </w:tc>
        <w:tc>
          <w:tcPr>
            <w:tcW w:w="701" w:type="dxa"/>
            <w:vMerge w:val="continue"/>
            <w:tcBorders>
              <w:top w:val="nil"/>
              <w:left w:val="nil"/>
              <w:bottom w:val="single" w:color="000000" w:sz="4" w:space="0"/>
              <w:right w:val="single" w:color="000000" w:sz="4" w:space="0"/>
            </w:tcBorders>
          </w:tcPr>
          <w:p w14:paraId="0B7D8E8F">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3BE1047D">
            <w:pPr>
              <w:pStyle w:val="4"/>
              <w:jc w:val="left"/>
              <w:rPr>
                <w:highlight w:val="none"/>
              </w:rPr>
            </w:pPr>
            <w:r>
              <w:rPr>
                <w:rFonts w:ascii="仿宋_GB2312" w:hAnsi="仿宋_GB2312" w:eastAsia="仿宋_GB2312" w:cs="仿宋_GB2312"/>
                <w:color w:val="000000"/>
                <w:sz w:val="24"/>
                <w:highlight w:val="none"/>
              </w:rPr>
              <w:t>福船园38#学生宿舍楼管</w:t>
            </w:r>
          </w:p>
        </w:tc>
        <w:tc>
          <w:tcPr>
            <w:tcW w:w="2430" w:type="dxa"/>
            <w:vMerge w:val="continue"/>
            <w:tcBorders>
              <w:top w:val="nil"/>
              <w:left w:val="nil"/>
              <w:bottom w:val="single" w:color="000000" w:sz="4" w:space="0"/>
              <w:right w:val="single" w:color="000000" w:sz="4" w:space="0"/>
            </w:tcBorders>
          </w:tcPr>
          <w:p w14:paraId="7DE4DAF5">
            <w:pPr>
              <w:rPr>
                <w:highlight w:val="none"/>
              </w:rPr>
            </w:pPr>
          </w:p>
        </w:tc>
        <w:tc>
          <w:tcPr>
            <w:tcW w:w="2380" w:type="dxa"/>
            <w:vMerge w:val="continue"/>
            <w:tcBorders>
              <w:top w:val="nil"/>
              <w:left w:val="nil"/>
              <w:bottom w:val="single" w:color="000000" w:sz="4" w:space="0"/>
              <w:right w:val="single" w:color="000000" w:sz="4" w:space="0"/>
            </w:tcBorders>
          </w:tcPr>
          <w:p w14:paraId="2BE4866B">
            <w:pPr>
              <w:rPr>
                <w:highlight w:val="none"/>
              </w:rPr>
            </w:pPr>
          </w:p>
        </w:tc>
      </w:tr>
      <w:tr w14:paraId="7596E9E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4F55B636">
            <w:pPr>
              <w:rPr>
                <w:highlight w:val="none"/>
              </w:rPr>
            </w:pPr>
          </w:p>
        </w:tc>
        <w:tc>
          <w:tcPr>
            <w:tcW w:w="701" w:type="dxa"/>
            <w:vMerge w:val="continue"/>
            <w:tcBorders>
              <w:top w:val="nil"/>
              <w:left w:val="nil"/>
              <w:bottom w:val="single" w:color="000000" w:sz="4" w:space="0"/>
              <w:right w:val="single" w:color="000000" w:sz="4" w:space="0"/>
            </w:tcBorders>
          </w:tcPr>
          <w:p w14:paraId="5E8D608F">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2550C5CD">
            <w:pPr>
              <w:pStyle w:val="4"/>
              <w:jc w:val="left"/>
              <w:rPr>
                <w:highlight w:val="none"/>
              </w:rPr>
            </w:pPr>
            <w:r>
              <w:rPr>
                <w:rFonts w:ascii="仿宋_GB2312" w:hAnsi="仿宋_GB2312" w:eastAsia="仿宋_GB2312" w:cs="仿宋_GB2312"/>
                <w:color w:val="000000"/>
                <w:sz w:val="24"/>
                <w:highlight w:val="none"/>
              </w:rPr>
              <w:t>福船园39#学生宿舍楼管</w:t>
            </w:r>
          </w:p>
        </w:tc>
        <w:tc>
          <w:tcPr>
            <w:tcW w:w="2430" w:type="dxa"/>
            <w:vMerge w:val="continue"/>
            <w:tcBorders>
              <w:top w:val="nil"/>
              <w:left w:val="nil"/>
              <w:bottom w:val="single" w:color="000000" w:sz="4" w:space="0"/>
              <w:right w:val="single" w:color="000000" w:sz="4" w:space="0"/>
            </w:tcBorders>
          </w:tcPr>
          <w:p w14:paraId="015C09AF">
            <w:pPr>
              <w:rPr>
                <w:highlight w:val="none"/>
              </w:rPr>
            </w:pPr>
          </w:p>
        </w:tc>
        <w:tc>
          <w:tcPr>
            <w:tcW w:w="2380" w:type="dxa"/>
            <w:vMerge w:val="continue"/>
            <w:tcBorders>
              <w:top w:val="nil"/>
              <w:left w:val="nil"/>
              <w:bottom w:val="single" w:color="000000" w:sz="4" w:space="0"/>
              <w:right w:val="single" w:color="000000" w:sz="4" w:space="0"/>
            </w:tcBorders>
          </w:tcPr>
          <w:p w14:paraId="4E5CF377">
            <w:pPr>
              <w:rPr>
                <w:highlight w:val="none"/>
              </w:rPr>
            </w:pPr>
          </w:p>
        </w:tc>
      </w:tr>
      <w:tr w14:paraId="793E16D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357D0FCB">
            <w:pPr>
              <w:rPr>
                <w:highlight w:val="none"/>
              </w:rPr>
            </w:pPr>
          </w:p>
        </w:tc>
        <w:tc>
          <w:tcPr>
            <w:tcW w:w="701" w:type="dxa"/>
            <w:vMerge w:val="continue"/>
            <w:tcBorders>
              <w:top w:val="nil"/>
              <w:left w:val="nil"/>
              <w:bottom w:val="single" w:color="000000" w:sz="4" w:space="0"/>
              <w:right w:val="single" w:color="000000" w:sz="4" w:space="0"/>
            </w:tcBorders>
          </w:tcPr>
          <w:p w14:paraId="3F20D481">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28E19D44">
            <w:pPr>
              <w:pStyle w:val="4"/>
              <w:jc w:val="left"/>
              <w:rPr>
                <w:highlight w:val="none"/>
              </w:rPr>
            </w:pPr>
            <w:r>
              <w:rPr>
                <w:rFonts w:ascii="仿宋_GB2312" w:hAnsi="仿宋_GB2312" w:eastAsia="仿宋_GB2312" w:cs="仿宋_GB2312"/>
                <w:color w:val="000000"/>
                <w:sz w:val="24"/>
                <w:highlight w:val="none"/>
              </w:rPr>
              <w:t>福船园39#学生宿舍楼管</w:t>
            </w:r>
          </w:p>
        </w:tc>
        <w:tc>
          <w:tcPr>
            <w:tcW w:w="2430" w:type="dxa"/>
            <w:vMerge w:val="continue"/>
            <w:tcBorders>
              <w:top w:val="nil"/>
              <w:left w:val="nil"/>
              <w:bottom w:val="single" w:color="000000" w:sz="4" w:space="0"/>
              <w:right w:val="single" w:color="000000" w:sz="4" w:space="0"/>
            </w:tcBorders>
          </w:tcPr>
          <w:p w14:paraId="3405FC9D">
            <w:pPr>
              <w:rPr>
                <w:highlight w:val="none"/>
              </w:rPr>
            </w:pPr>
          </w:p>
        </w:tc>
        <w:tc>
          <w:tcPr>
            <w:tcW w:w="2380" w:type="dxa"/>
            <w:vMerge w:val="continue"/>
            <w:tcBorders>
              <w:top w:val="nil"/>
              <w:left w:val="nil"/>
              <w:bottom w:val="single" w:color="000000" w:sz="4" w:space="0"/>
              <w:right w:val="single" w:color="000000" w:sz="4" w:space="0"/>
            </w:tcBorders>
          </w:tcPr>
          <w:p w14:paraId="219E6AAB">
            <w:pPr>
              <w:rPr>
                <w:highlight w:val="none"/>
              </w:rPr>
            </w:pPr>
          </w:p>
        </w:tc>
      </w:tr>
      <w:tr w14:paraId="4E4369A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013BA987">
            <w:pPr>
              <w:rPr>
                <w:highlight w:val="none"/>
              </w:rPr>
            </w:pPr>
          </w:p>
        </w:tc>
        <w:tc>
          <w:tcPr>
            <w:tcW w:w="701" w:type="dxa"/>
            <w:vMerge w:val="continue"/>
            <w:tcBorders>
              <w:top w:val="nil"/>
              <w:left w:val="nil"/>
              <w:bottom w:val="single" w:color="000000" w:sz="4" w:space="0"/>
              <w:right w:val="single" w:color="000000" w:sz="4" w:space="0"/>
            </w:tcBorders>
          </w:tcPr>
          <w:p w14:paraId="30ABE361">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25E70C1E">
            <w:pPr>
              <w:pStyle w:val="4"/>
              <w:jc w:val="left"/>
              <w:rPr>
                <w:highlight w:val="none"/>
              </w:rPr>
            </w:pPr>
            <w:r>
              <w:rPr>
                <w:rFonts w:ascii="仿宋_GB2312" w:hAnsi="仿宋_GB2312" w:eastAsia="仿宋_GB2312" w:cs="仿宋_GB2312"/>
                <w:color w:val="000000"/>
                <w:sz w:val="24"/>
                <w:highlight w:val="none"/>
              </w:rPr>
              <w:t>福船园40#学生宿舍楼管</w:t>
            </w:r>
          </w:p>
        </w:tc>
        <w:tc>
          <w:tcPr>
            <w:tcW w:w="2430" w:type="dxa"/>
            <w:vMerge w:val="continue"/>
            <w:tcBorders>
              <w:top w:val="nil"/>
              <w:left w:val="nil"/>
              <w:bottom w:val="single" w:color="000000" w:sz="4" w:space="0"/>
              <w:right w:val="single" w:color="000000" w:sz="4" w:space="0"/>
            </w:tcBorders>
          </w:tcPr>
          <w:p w14:paraId="21D97733">
            <w:pPr>
              <w:rPr>
                <w:highlight w:val="none"/>
              </w:rPr>
            </w:pPr>
          </w:p>
        </w:tc>
        <w:tc>
          <w:tcPr>
            <w:tcW w:w="2380" w:type="dxa"/>
            <w:vMerge w:val="continue"/>
            <w:tcBorders>
              <w:top w:val="nil"/>
              <w:left w:val="nil"/>
              <w:bottom w:val="single" w:color="000000" w:sz="4" w:space="0"/>
              <w:right w:val="single" w:color="000000" w:sz="4" w:space="0"/>
            </w:tcBorders>
          </w:tcPr>
          <w:p w14:paraId="107490FC">
            <w:pPr>
              <w:rPr>
                <w:highlight w:val="none"/>
              </w:rPr>
            </w:pPr>
          </w:p>
        </w:tc>
      </w:tr>
      <w:tr w14:paraId="6243241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1C474201">
            <w:pPr>
              <w:rPr>
                <w:highlight w:val="none"/>
              </w:rPr>
            </w:pPr>
          </w:p>
        </w:tc>
        <w:tc>
          <w:tcPr>
            <w:tcW w:w="701" w:type="dxa"/>
            <w:vMerge w:val="continue"/>
            <w:tcBorders>
              <w:top w:val="nil"/>
              <w:left w:val="nil"/>
              <w:bottom w:val="single" w:color="000000" w:sz="4" w:space="0"/>
              <w:right w:val="single" w:color="000000" w:sz="4" w:space="0"/>
            </w:tcBorders>
          </w:tcPr>
          <w:p w14:paraId="02D92B65">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5EF564B4">
            <w:pPr>
              <w:pStyle w:val="4"/>
              <w:jc w:val="left"/>
              <w:rPr>
                <w:highlight w:val="none"/>
              </w:rPr>
            </w:pPr>
            <w:r>
              <w:rPr>
                <w:rFonts w:ascii="仿宋_GB2312" w:hAnsi="仿宋_GB2312" w:eastAsia="仿宋_GB2312" w:cs="仿宋_GB2312"/>
                <w:color w:val="000000"/>
                <w:sz w:val="24"/>
                <w:highlight w:val="none"/>
              </w:rPr>
              <w:t>福船园40#学生宿舍楼管</w:t>
            </w:r>
          </w:p>
        </w:tc>
        <w:tc>
          <w:tcPr>
            <w:tcW w:w="2430" w:type="dxa"/>
            <w:vMerge w:val="continue"/>
            <w:tcBorders>
              <w:top w:val="nil"/>
              <w:left w:val="nil"/>
              <w:bottom w:val="single" w:color="000000" w:sz="4" w:space="0"/>
              <w:right w:val="single" w:color="000000" w:sz="4" w:space="0"/>
            </w:tcBorders>
          </w:tcPr>
          <w:p w14:paraId="1CC97EA3">
            <w:pPr>
              <w:rPr>
                <w:highlight w:val="none"/>
              </w:rPr>
            </w:pPr>
          </w:p>
        </w:tc>
        <w:tc>
          <w:tcPr>
            <w:tcW w:w="2380" w:type="dxa"/>
            <w:vMerge w:val="continue"/>
            <w:tcBorders>
              <w:top w:val="nil"/>
              <w:left w:val="nil"/>
              <w:bottom w:val="single" w:color="000000" w:sz="4" w:space="0"/>
              <w:right w:val="single" w:color="000000" w:sz="4" w:space="0"/>
            </w:tcBorders>
          </w:tcPr>
          <w:p w14:paraId="34949C24">
            <w:pPr>
              <w:rPr>
                <w:highlight w:val="none"/>
              </w:rPr>
            </w:pPr>
          </w:p>
        </w:tc>
      </w:tr>
      <w:tr w14:paraId="2104897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2ECB76BF">
            <w:pPr>
              <w:rPr>
                <w:highlight w:val="none"/>
              </w:rPr>
            </w:pPr>
          </w:p>
        </w:tc>
        <w:tc>
          <w:tcPr>
            <w:tcW w:w="701" w:type="dxa"/>
            <w:vMerge w:val="continue"/>
            <w:tcBorders>
              <w:top w:val="nil"/>
              <w:left w:val="nil"/>
              <w:bottom w:val="single" w:color="000000" w:sz="4" w:space="0"/>
              <w:right w:val="single" w:color="000000" w:sz="4" w:space="0"/>
            </w:tcBorders>
          </w:tcPr>
          <w:p w14:paraId="6E7E45BE">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6613C31D">
            <w:pPr>
              <w:pStyle w:val="4"/>
              <w:jc w:val="left"/>
              <w:rPr>
                <w:highlight w:val="none"/>
              </w:rPr>
            </w:pPr>
            <w:r>
              <w:rPr>
                <w:rFonts w:ascii="仿宋_GB2312" w:hAnsi="仿宋_GB2312" w:eastAsia="仿宋_GB2312" w:cs="仿宋_GB2312"/>
                <w:color w:val="000000"/>
                <w:sz w:val="24"/>
                <w:highlight w:val="none"/>
              </w:rPr>
              <w:t>长安1#学生宿舍楼管</w:t>
            </w:r>
          </w:p>
        </w:tc>
        <w:tc>
          <w:tcPr>
            <w:tcW w:w="2430" w:type="dxa"/>
            <w:vMerge w:val="continue"/>
            <w:tcBorders>
              <w:top w:val="nil"/>
              <w:left w:val="nil"/>
              <w:bottom w:val="single" w:color="000000" w:sz="4" w:space="0"/>
              <w:right w:val="single" w:color="000000" w:sz="4" w:space="0"/>
            </w:tcBorders>
          </w:tcPr>
          <w:p w14:paraId="4629195D">
            <w:pPr>
              <w:rPr>
                <w:highlight w:val="none"/>
              </w:rPr>
            </w:pPr>
          </w:p>
        </w:tc>
        <w:tc>
          <w:tcPr>
            <w:tcW w:w="2380" w:type="dxa"/>
            <w:vMerge w:val="continue"/>
            <w:tcBorders>
              <w:top w:val="nil"/>
              <w:left w:val="nil"/>
              <w:bottom w:val="single" w:color="000000" w:sz="4" w:space="0"/>
              <w:right w:val="single" w:color="000000" w:sz="4" w:space="0"/>
            </w:tcBorders>
          </w:tcPr>
          <w:p w14:paraId="46848F7E">
            <w:pPr>
              <w:rPr>
                <w:highlight w:val="none"/>
              </w:rPr>
            </w:pPr>
          </w:p>
        </w:tc>
      </w:tr>
      <w:tr w14:paraId="612470C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6439DE3F">
            <w:pPr>
              <w:rPr>
                <w:highlight w:val="none"/>
              </w:rPr>
            </w:pPr>
          </w:p>
        </w:tc>
        <w:tc>
          <w:tcPr>
            <w:tcW w:w="701" w:type="dxa"/>
            <w:vMerge w:val="continue"/>
            <w:tcBorders>
              <w:top w:val="nil"/>
              <w:left w:val="nil"/>
              <w:bottom w:val="single" w:color="000000" w:sz="4" w:space="0"/>
              <w:right w:val="single" w:color="000000" w:sz="4" w:space="0"/>
            </w:tcBorders>
          </w:tcPr>
          <w:p w14:paraId="7F3F93C9">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31DF579F">
            <w:pPr>
              <w:pStyle w:val="4"/>
              <w:jc w:val="left"/>
              <w:rPr>
                <w:highlight w:val="none"/>
              </w:rPr>
            </w:pPr>
            <w:r>
              <w:rPr>
                <w:rFonts w:ascii="仿宋_GB2312" w:hAnsi="仿宋_GB2312" w:eastAsia="仿宋_GB2312" w:cs="仿宋_GB2312"/>
                <w:color w:val="000000"/>
                <w:sz w:val="24"/>
                <w:highlight w:val="none"/>
              </w:rPr>
              <w:t>长安1#学生宿舍楼管</w:t>
            </w:r>
          </w:p>
        </w:tc>
        <w:tc>
          <w:tcPr>
            <w:tcW w:w="2430" w:type="dxa"/>
            <w:vMerge w:val="continue"/>
            <w:tcBorders>
              <w:top w:val="nil"/>
              <w:left w:val="nil"/>
              <w:bottom w:val="single" w:color="000000" w:sz="4" w:space="0"/>
              <w:right w:val="single" w:color="000000" w:sz="4" w:space="0"/>
            </w:tcBorders>
          </w:tcPr>
          <w:p w14:paraId="36B290F0">
            <w:pPr>
              <w:rPr>
                <w:highlight w:val="none"/>
              </w:rPr>
            </w:pPr>
          </w:p>
        </w:tc>
        <w:tc>
          <w:tcPr>
            <w:tcW w:w="2380" w:type="dxa"/>
            <w:vMerge w:val="continue"/>
            <w:tcBorders>
              <w:top w:val="nil"/>
              <w:left w:val="nil"/>
              <w:bottom w:val="single" w:color="000000" w:sz="4" w:space="0"/>
              <w:right w:val="single" w:color="000000" w:sz="4" w:space="0"/>
            </w:tcBorders>
          </w:tcPr>
          <w:p w14:paraId="3E57246E">
            <w:pPr>
              <w:rPr>
                <w:highlight w:val="none"/>
              </w:rPr>
            </w:pPr>
          </w:p>
        </w:tc>
      </w:tr>
      <w:tr w14:paraId="12B5960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2A267ED9">
            <w:pPr>
              <w:rPr>
                <w:highlight w:val="none"/>
              </w:rPr>
            </w:pPr>
          </w:p>
        </w:tc>
        <w:tc>
          <w:tcPr>
            <w:tcW w:w="701" w:type="dxa"/>
            <w:vMerge w:val="continue"/>
            <w:tcBorders>
              <w:top w:val="nil"/>
              <w:left w:val="nil"/>
              <w:bottom w:val="single" w:color="000000" w:sz="4" w:space="0"/>
              <w:right w:val="single" w:color="000000" w:sz="4" w:space="0"/>
            </w:tcBorders>
          </w:tcPr>
          <w:p w14:paraId="616B41CF">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55E7E1DF">
            <w:pPr>
              <w:pStyle w:val="4"/>
              <w:jc w:val="left"/>
              <w:rPr>
                <w:highlight w:val="none"/>
              </w:rPr>
            </w:pPr>
            <w:r>
              <w:rPr>
                <w:rFonts w:ascii="仿宋_GB2312" w:hAnsi="仿宋_GB2312" w:eastAsia="仿宋_GB2312" w:cs="仿宋_GB2312"/>
                <w:color w:val="000000"/>
                <w:sz w:val="24"/>
                <w:highlight w:val="none"/>
              </w:rPr>
              <w:t>长安2#学生宿舍楼管</w:t>
            </w:r>
          </w:p>
        </w:tc>
        <w:tc>
          <w:tcPr>
            <w:tcW w:w="2430" w:type="dxa"/>
            <w:vMerge w:val="continue"/>
            <w:tcBorders>
              <w:top w:val="nil"/>
              <w:left w:val="nil"/>
              <w:bottom w:val="single" w:color="000000" w:sz="4" w:space="0"/>
              <w:right w:val="single" w:color="000000" w:sz="4" w:space="0"/>
            </w:tcBorders>
          </w:tcPr>
          <w:p w14:paraId="48CAD971">
            <w:pPr>
              <w:rPr>
                <w:highlight w:val="none"/>
              </w:rPr>
            </w:pPr>
          </w:p>
        </w:tc>
        <w:tc>
          <w:tcPr>
            <w:tcW w:w="2380" w:type="dxa"/>
            <w:vMerge w:val="continue"/>
            <w:tcBorders>
              <w:top w:val="nil"/>
              <w:left w:val="nil"/>
              <w:bottom w:val="single" w:color="000000" w:sz="4" w:space="0"/>
              <w:right w:val="single" w:color="000000" w:sz="4" w:space="0"/>
            </w:tcBorders>
          </w:tcPr>
          <w:p w14:paraId="234DEB65">
            <w:pPr>
              <w:rPr>
                <w:highlight w:val="none"/>
              </w:rPr>
            </w:pPr>
          </w:p>
        </w:tc>
      </w:tr>
      <w:tr w14:paraId="7F9B944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03E87001">
            <w:pPr>
              <w:rPr>
                <w:highlight w:val="none"/>
              </w:rPr>
            </w:pPr>
          </w:p>
        </w:tc>
        <w:tc>
          <w:tcPr>
            <w:tcW w:w="701" w:type="dxa"/>
            <w:vMerge w:val="continue"/>
            <w:tcBorders>
              <w:top w:val="nil"/>
              <w:left w:val="nil"/>
              <w:bottom w:val="single" w:color="000000" w:sz="4" w:space="0"/>
              <w:right w:val="single" w:color="000000" w:sz="4" w:space="0"/>
            </w:tcBorders>
          </w:tcPr>
          <w:p w14:paraId="18790BBD">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698FA450">
            <w:pPr>
              <w:pStyle w:val="4"/>
              <w:jc w:val="left"/>
              <w:rPr>
                <w:highlight w:val="none"/>
              </w:rPr>
            </w:pPr>
            <w:r>
              <w:rPr>
                <w:rFonts w:ascii="仿宋_GB2312" w:hAnsi="仿宋_GB2312" w:eastAsia="仿宋_GB2312" w:cs="仿宋_GB2312"/>
                <w:color w:val="000000"/>
                <w:sz w:val="24"/>
                <w:highlight w:val="none"/>
              </w:rPr>
              <w:t>长安2#学生宿舍楼管</w:t>
            </w:r>
          </w:p>
        </w:tc>
        <w:tc>
          <w:tcPr>
            <w:tcW w:w="2430" w:type="dxa"/>
            <w:vMerge w:val="continue"/>
            <w:tcBorders>
              <w:top w:val="nil"/>
              <w:left w:val="nil"/>
              <w:bottom w:val="single" w:color="000000" w:sz="4" w:space="0"/>
              <w:right w:val="single" w:color="000000" w:sz="4" w:space="0"/>
            </w:tcBorders>
          </w:tcPr>
          <w:p w14:paraId="5B0EA648">
            <w:pPr>
              <w:rPr>
                <w:highlight w:val="none"/>
              </w:rPr>
            </w:pPr>
          </w:p>
        </w:tc>
        <w:tc>
          <w:tcPr>
            <w:tcW w:w="2380" w:type="dxa"/>
            <w:vMerge w:val="continue"/>
            <w:tcBorders>
              <w:top w:val="nil"/>
              <w:left w:val="nil"/>
              <w:bottom w:val="single" w:color="000000" w:sz="4" w:space="0"/>
              <w:right w:val="single" w:color="000000" w:sz="4" w:space="0"/>
            </w:tcBorders>
          </w:tcPr>
          <w:p w14:paraId="04A6F7EB">
            <w:pPr>
              <w:rPr>
                <w:highlight w:val="none"/>
              </w:rPr>
            </w:pPr>
          </w:p>
        </w:tc>
      </w:tr>
      <w:tr w14:paraId="0C1109F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44FACEB8">
            <w:pPr>
              <w:rPr>
                <w:highlight w:val="none"/>
              </w:rPr>
            </w:pPr>
          </w:p>
        </w:tc>
        <w:tc>
          <w:tcPr>
            <w:tcW w:w="701" w:type="dxa"/>
            <w:vMerge w:val="continue"/>
            <w:tcBorders>
              <w:top w:val="nil"/>
              <w:left w:val="nil"/>
              <w:bottom w:val="single" w:color="000000" w:sz="4" w:space="0"/>
              <w:right w:val="single" w:color="000000" w:sz="4" w:space="0"/>
            </w:tcBorders>
          </w:tcPr>
          <w:p w14:paraId="7A62DCA2">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78039DEE">
            <w:pPr>
              <w:pStyle w:val="4"/>
              <w:jc w:val="left"/>
              <w:rPr>
                <w:highlight w:val="none"/>
              </w:rPr>
            </w:pPr>
            <w:r>
              <w:rPr>
                <w:rFonts w:ascii="仿宋_GB2312" w:hAnsi="仿宋_GB2312" w:eastAsia="仿宋_GB2312" w:cs="仿宋_GB2312"/>
                <w:color w:val="000000"/>
                <w:sz w:val="24"/>
                <w:highlight w:val="none"/>
              </w:rPr>
              <w:t>长安4#学生宿舍楼管</w:t>
            </w:r>
          </w:p>
        </w:tc>
        <w:tc>
          <w:tcPr>
            <w:tcW w:w="2430" w:type="dxa"/>
            <w:vMerge w:val="continue"/>
            <w:tcBorders>
              <w:top w:val="nil"/>
              <w:left w:val="nil"/>
              <w:bottom w:val="single" w:color="000000" w:sz="4" w:space="0"/>
              <w:right w:val="single" w:color="000000" w:sz="4" w:space="0"/>
            </w:tcBorders>
          </w:tcPr>
          <w:p w14:paraId="656FAD75">
            <w:pPr>
              <w:rPr>
                <w:highlight w:val="none"/>
              </w:rPr>
            </w:pPr>
          </w:p>
        </w:tc>
        <w:tc>
          <w:tcPr>
            <w:tcW w:w="2380" w:type="dxa"/>
            <w:vMerge w:val="continue"/>
            <w:tcBorders>
              <w:top w:val="nil"/>
              <w:left w:val="nil"/>
              <w:bottom w:val="single" w:color="000000" w:sz="4" w:space="0"/>
              <w:right w:val="single" w:color="000000" w:sz="4" w:space="0"/>
            </w:tcBorders>
          </w:tcPr>
          <w:p w14:paraId="778A6FA6">
            <w:pPr>
              <w:rPr>
                <w:highlight w:val="none"/>
              </w:rPr>
            </w:pPr>
          </w:p>
        </w:tc>
      </w:tr>
      <w:tr w14:paraId="6097FEF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028A6DDB">
            <w:pPr>
              <w:rPr>
                <w:highlight w:val="none"/>
              </w:rPr>
            </w:pPr>
          </w:p>
        </w:tc>
        <w:tc>
          <w:tcPr>
            <w:tcW w:w="701" w:type="dxa"/>
            <w:vMerge w:val="continue"/>
            <w:tcBorders>
              <w:top w:val="nil"/>
              <w:left w:val="nil"/>
              <w:bottom w:val="single" w:color="000000" w:sz="4" w:space="0"/>
              <w:right w:val="single" w:color="000000" w:sz="4" w:space="0"/>
            </w:tcBorders>
          </w:tcPr>
          <w:p w14:paraId="1DAFC006">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12EFD139">
            <w:pPr>
              <w:pStyle w:val="4"/>
              <w:jc w:val="left"/>
              <w:rPr>
                <w:highlight w:val="none"/>
              </w:rPr>
            </w:pPr>
            <w:r>
              <w:rPr>
                <w:rFonts w:ascii="仿宋_GB2312" w:hAnsi="仿宋_GB2312" w:eastAsia="仿宋_GB2312" w:cs="仿宋_GB2312"/>
                <w:color w:val="000000"/>
                <w:sz w:val="24"/>
                <w:highlight w:val="none"/>
              </w:rPr>
              <w:t>长安4#学生宿舍楼管</w:t>
            </w:r>
          </w:p>
        </w:tc>
        <w:tc>
          <w:tcPr>
            <w:tcW w:w="2430" w:type="dxa"/>
            <w:vMerge w:val="continue"/>
            <w:tcBorders>
              <w:top w:val="nil"/>
              <w:left w:val="nil"/>
              <w:bottom w:val="single" w:color="000000" w:sz="4" w:space="0"/>
              <w:right w:val="single" w:color="000000" w:sz="4" w:space="0"/>
            </w:tcBorders>
          </w:tcPr>
          <w:p w14:paraId="3A4E902E">
            <w:pPr>
              <w:rPr>
                <w:highlight w:val="none"/>
              </w:rPr>
            </w:pPr>
          </w:p>
        </w:tc>
        <w:tc>
          <w:tcPr>
            <w:tcW w:w="2380" w:type="dxa"/>
            <w:vMerge w:val="continue"/>
            <w:tcBorders>
              <w:top w:val="nil"/>
              <w:left w:val="nil"/>
              <w:bottom w:val="single" w:color="000000" w:sz="4" w:space="0"/>
              <w:right w:val="single" w:color="000000" w:sz="4" w:space="0"/>
            </w:tcBorders>
          </w:tcPr>
          <w:p w14:paraId="7AFE25B8">
            <w:pPr>
              <w:rPr>
                <w:highlight w:val="none"/>
              </w:rPr>
            </w:pPr>
          </w:p>
        </w:tc>
      </w:tr>
      <w:tr w14:paraId="7784896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45A2BE39">
            <w:pPr>
              <w:rPr>
                <w:highlight w:val="none"/>
              </w:rPr>
            </w:pPr>
          </w:p>
        </w:tc>
        <w:tc>
          <w:tcPr>
            <w:tcW w:w="701" w:type="dxa"/>
            <w:vMerge w:val="continue"/>
            <w:tcBorders>
              <w:top w:val="nil"/>
              <w:left w:val="nil"/>
              <w:bottom w:val="single" w:color="000000" w:sz="4" w:space="0"/>
              <w:right w:val="single" w:color="000000" w:sz="4" w:space="0"/>
            </w:tcBorders>
          </w:tcPr>
          <w:p w14:paraId="4CDEDAC6">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593A35F0">
            <w:pPr>
              <w:pStyle w:val="4"/>
              <w:jc w:val="left"/>
              <w:rPr>
                <w:highlight w:val="none"/>
              </w:rPr>
            </w:pPr>
            <w:r>
              <w:rPr>
                <w:rFonts w:ascii="仿宋_GB2312" w:hAnsi="仿宋_GB2312" w:eastAsia="仿宋_GB2312" w:cs="仿宋_GB2312"/>
                <w:color w:val="000000"/>
                <w:sz w:val="24"/>
                <w:highlight w:val="none"/>
              </w:rPr>
              <w:t>福佑园1#2#学生宿舍楼管</w:t>
            </w:r>
          </w:p>
        </w:tc>
        <w:tc>
          <w:tcPr>
            <w:tcW w:w="2430" w:type="dxa"/>
            <w:vMerge w:val="continue"/>
            <w:tcBorders>
              <w:top w:val="nil"/>
              <w:left w:val="nil"/>
              <w:bottom w:val="single" w:color="000000" w:sz="4" w:space="0"/>
              <w:right w:val="single" w:color="000000" w:sz="4" w:space="0"/>
            </w:tcBorders>
          </w:tcPr>
          <w:p w14:paraId="11EC7940">
            <w:pPr>
              <w:rPr>
                <w:highlight w:val="none"/>
              </w:rPr>
            </w:pPr>
          </w:p>
        </w:tc>
        <w:tc>
          <w:tcPr>
            <w:tcW w:w="2380" w:type="dxa"/>
            <w:vMerge w:val="continue"/>
            <w:tcBorders>
              <w:top w:val="nil"/>
              <w:left w:val="nil"/>
              <w:bottom w:val="single" w:color="000000" w:sz="4" w:space="0"/>
              <w:right w:val="single" w:color="000000" w:sz="4" w:space="0"/>
            </w:tcBorders>
          </w:tcPr>
          <w:p w14:paraId="3CAD95B1">
            <w:pPr>
              <w:rPr>
                <w:highlight w:val="none"/>
              </w:rPr>
            </w:pPr>
          </w:p>
        </w:tc>
      </w:tr>
      <w:tr w14:paraId="328CBB2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303F19D2">
            <w:pPr>
              <w:rPr>
                <w:highlight w:val="none"/>
              </w:rPr>
            </w:pPr>
          </w:p>
        </w:tc>
        <w:tc>
          <w:tcPr>
            <w:tcW w:w="701" w:type="dxa"/>
            <w:vMerge w:val="continue"/>
            <w:tcBorders>
              <w:top w:val="nil"/>
              <w:left w:val="nil"/>
              <w:bottom w:val="single" w:color="000000" w:sz="4" w:space="0"/>
              <w:right w:val="single" w:color="000000" w:sz="4" w:space="0"/>
            </w:tcBorders>
          </w:tcPr>
          <w:p w14:paraId="2118C125">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7F897EF2">
            <w:pPr>
              <w:pStyle w:val="4"/>
              <w:jc w:val="left"/>
              <w:rPr>
                <w:highlight w:val="none"/>
              </w:rPr>
            </w:pPr>
            <w:r>
              <w:rPr>
                <w:rFonts w:ascii="仿宋_GB2312" w:hAnsi="仿宋_GB2312" w:eastAsia="仿宋_GB2312" w:cs="仿宋_GB2312"/>
                <w:color w:val="000000"/>
                <w:sz w:val="24"/>
                <w:highlight w:val="none"/>
              </w:rPr>
              <w:t>福佑园1#2#学生宿舍楼管</w:t>
            </w:r>
          </w:p>
        </w:tc>
        <w:tc>
          <w:tcPr>
            <w:tcW w:w="2430" w:type="dxa"/>
            <w:vMerge w:val="continue"/>
            <w:tcBorders>
              <w:top w:val="nil"/>
              <w:left w:val="nil"/>
              <w:bottom w:val="single" w:color="000000" w:sz="4" w:space="0"/>
              <w:right w:val="single" w:color="000000" w:sz="4" w:space="0"/>
            </w:tcBorders>
          </w:tcPr>
          <w:p w14:paraId="29F9DF8F">
            <w:pPr>
              <w:rPr>
                <w:highlight w:val="none"/>
              </w:rPr>
            </w:pPr>
          </w:p>
        </w:tc>
        <w:tc>
          <w:tcPr>
            <w:tcW w:w="2380" w:type="dxa"/>
            <w:vMerge w:val="continue"/>
            <w:tcBorders>
              <w:top w:val="nil"/>
              <w:left w:val="nil"/>
              <w:bottom w:val="single" w:color="000000" w:sz="4" w:space="0"/>
              <w:right w:val="single" w:color="000000" w:sz="4" w:space="0"/>
            </w:tcBorders>
          </w:tcPr>
          <w:p w14:paraId="0E9D8B47">
            <w:pPr>
              <w:rPr>
                <w:highlight w:val="none"/>
              </w:rPr>
            </w:pPr>
          </w:p>
        </w:tc>
      </w:tr>
      <w:tr w14:paraId="02501DF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340577E6">
            <w:pPr>
              <w:rPr>
                <w:highlight w:val="none"/>
              </w:rPr>
            </w:pPr>
          </w:p>
        </w:tc>
        <w:tc>
          <w:tcPr>
            <w:tcW w:w="701" w:type="dxa"/>
            <w:vMerge w:val="continue"/>
            <w:tcBorders>
              <w:top w:val="nil"/>
              <w:left w:val="nil"/>
              <w:bottom w:val="single" w:color="000000" w:sz="4" w:space="0"/>
              <w:right w:val="single" w:color="000000" w:sz="4" w:space="0"/>
            </w:tcBorders>
          </w:tcPr>
          <w:p w14:paraId="3E7F6EC1">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53625283">
            <w:pPr>
              <w:pStyle w:val="4"/>
              <w:jc w:val="left"/>
              <w:rPr>
                <w:highlight w:val="none"/>
              </w:rPr>
            </w:pPr>
            <w:r>
              <w:rPr>
                <w:rFonts w:ascii="仿宋_GB2312" w:hAnsi="仿宋_GB2312" w:eastAsia="仿宋_GB2312" w:cs="仿宋_GB2312"/>
                <w:color w:val="000000"/>
                <w:sz w:val="24"/>
                <w:highlight w:val="none"/>
              </w:rPr>
              <w:t>福佑园8#学生宿舍楼管</w:t>
            </w:r>
          </w:p>
        </w:tc>
        <w:tc>
          <w:tcPr>
            <w:tcW w:w="2430" w:type="dxa"/>
            <w:vMerge w:val="continue"/>
            <w:tcBorders>
              <w:top w:val="nil"/>
              <w:left w:val="nil"/>
              <w:bottom w:val="single" w:color="000000" w:sz="4" w:space="0"/>
              <w:right w:val="single" w:color="000000" w:sz="4" w:space="0"/>
            </w:tcBorders>
          </w:tcPr>
          <w:p w14:paraId="42A19AF2">
            <w:pPr>
              <w:rPr>
                <w:highlight w:val="none"/>
              </w:rPr>
            </w:pPr>
          </w:p>
        </w:tc>
        <w:tc>
          <w:tcPr>
            <w:tcW w:w="2380" w:type="dxa"/>
            <w:vMerge w:val="continue"/>
            <w:tcBorders>
              <w:top w:val="nil"/>
              <w:left w:val="nil"/>
              <w:bottom w:val="single" w:color="000000" w:sz="4" w:space="0"/>
              <w:right w:val="single" w:color="000000" w:sz="4" w:space="0"/>
            </w:tcBorders>
          </w:tcPr>
          <w:p w14:paraId="21216EA7">
            <w:pPr>
              <w:rPr>
                <w:highlight w:val="none"/>
              </w:rPr>
            </w:pPr>
          </w:p>
        </w:tc>
      </w:tr>
      <w:tr w14:paraId="794128E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3B558CFD">
            <w:pPr>
              <w:rPr>
                <w:highlight w:val="none"/>
              </w:rPr>
            </w:pPr>
          </w:p>
        </w:tc>
        <w:tc>
          <w:tcPr>
            <w:tcW w:w="701" w:type="dxa"/>
            <w:vMerge w:val="continue"/>
            <w:tcBorders>
              <w:top w:val="nil"/>
              <w:left w:val="nil"/>
              <w:bottom w:val="single" w:color="000000" w:sz="4" w:space="0"/>
              <w:right w:val="single" w:color="000000" w:sz="4" w:space="0"/>
            </w:tcBorders>
          </w:tcPr>
          <w:p w14:paraId="10B5C585">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55D1B943">
            <w:pPr>
              <w:pStyle w:val="4"/>
              <w:jc w:val="left"/>
              <w:rPr>
                <w:highlight w:val="none"/>
              </w:rPr>
            </w:pPr>
            <w:r>
              <w:rPr>
                <w:rFonts w:ascii="仿宋_GB2312" w:hAnsi="仿宋_GB2312" w:eastAsia="仿宋_GB2312" w:cs="仿宋_GB2312"/>
                <w:color w:val="000000"/>
                <w:sz w:val="24"/>
                <w:highlight w:val="none"/>
              </w:rPr>
              <w:t>福佑园8#学生宿舍楼管</w:t>
            </w:r>
          </w:p>
        </w:tc>
        <w:tc>
          <w:tcPr>
            <w:tcW w:w="2430" w:type="dxa"/>
            <w:vMerge w:val="continue"/>
            <w:tcBorders>
              <w:top w:val="nil"/>
              <w:left w:val="nil"/>
              <w:bottom w:val="single" w:color="000000" w:sz="4" w:space="0"/>
              <w:right w:val="single" w:color="000000" w:sz="4" w:space="0"/>
            </w:tcBorders>
          </w:tcPr>
          <w:p w14:paraId="62B9A28B">
            <w:pPr>
              <w:rPr>
                <w:highlight w:val="none"/>
              </w:rPr>
            </w:pPr>
          </w:p>
        </w:tc>
        <w:tc>
          <w:tcPr>
            <w:tcW w:w="2380" w:type="dxa"/>
            <w:vMerge w:val="continue"/>
            <w:tcBorders>
              <w:top w:val="nil"/>
              <w:left w:val="nil"/>
              <w:bottom w:val="single" w:color="000000" w:sz="4" w:space="0"/>
              <w:right w:val="single" w:color="000000" w:sz="4" w:space="0"/>
            </w:tcBorders>
          </w:tcPr>
          <w:p w14:paraId="08F7EBAE">
            <w:pPr>
              <w:rPr>
                <w:highlight w:val="none"/>
              </w:rPr>
            </w:pPr>
          </w:p>
        </w:tc>
      </w:tr>
      <w:tr w14:paraId="50DDC1D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restar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B6AA36F">
            <w:pPr>
              <w:pStyle w:val="4"/>
              <w:jc w:val="left"/>
              <w:rPr>
                <w:highlight w:val="none"/>
              </w:rPr>
            </w:pPr>
            <w:r>
              <w:rPr>
                <w:rFonts w:ascii="仿宋_GB2312" w:hAnsi="仿宋_GB2312" w:eastAsia="仿宋_GB2312" w:cs="仿宋_GB2312"/>
                <w:color w:val="000000"/>
                <w:sz w:val="24"/>
                <w:highlight w:val="none"/>
              </w:rPr>
              <w:t>保洁人员</w:t>
            </w:r>
          </w:p>
        </w:tc>
        <w:tc>
          <w:tcPr>
            <w:tcW w:w="701" w:type="dxa"/>
            <w:vMerge w:val="restart"/>
            <w:tcBorders>
              <w:top w:val="nil"/>
              <w:left w:val="nil"/>
              <w:bottom w:val="single" w:color="000000" w:sz="4" w:space="0"/>
              <w:right w:val="single" w:color="000000" w:sz="4" w:space="0"/>
            </w:tcBorders>
            <w:tcMar>
              <w:top w:w="0" w:type="dxa"/>
              <w:left w:w="105" w:type="dxa"/>
              <w:bottom w:w="0" w:type="dxa"/>
              <w:right w:w="105" w:type="dxa"/>
            </w:tcMar>
            <w:vAlign w:val="top"/>
          </w:tcPr>
          <w:p w14:paraId="62F98061">
            <w:pPr>
              <w:pStyle w:val="4"/>
              <w:jc w:val="center"/>
              <w:rPr>
                <w:highlight w:val="none"/>
              </w:rPr>
            </w:pPr>
            <w:r>
              <w:rPr>
                <w:rFonts w:ascii="仿宋_GB2312" w:hAnsi="仿宋_GB2312" w:eastAsia="仿宋_GB2312" w:cs="仿宋_GB2312"/>
                <w:color w:val="000000"/>
                <w:sz w:val="24"/>
                <w:highlight w:val="none"/>
              </w:rPr>
              <w:t>53</w:t>
            </w: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497CA029">
            <w:pPr>
              <w:pStyle w:val="4"/>
              <w:jc w:val="left"/>
              <w:rPr>
                <w:highlight w:val="none"/>
              </w:rPr>
            </w:pPr>
            <w:r>
              <w:rPr>
                <w:rFonts w:ascii="仿宋_GB2312" w:hAnsi="仿宋_GB2312" w:eastAsia="仿宋_GB2312" w:cs="仿宋_GB2312"/>
                <w:color w:val="000000"/>
                <w:sz w:val="24"/>
                <w:highlight w:val="none"/>
              </w:rPr>
              <w:t>福道园行政楼3层、6层会议室+3层-4层院领导办公室保洁、青年之家#2层办公室保洁</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7BE7CAEE">
            <w:pPr>
              <w:pStyle w:val="4"/>
              <w:jc w:val="left"/>
              <w:rPr>
                <w:highlight w:val="none"/>
              </w:rPr>
            </w:pPr>
            <w:r>
              <w:rPr>
                <w:rFonts w:ascii="仿宋_GB2312" w:hAnsi="仿宋_GB2312" w:eastAsia="仿宋_GB2312" w:cs="仿宋_GB2312"/>
                <w:color w:val="000000"/>
                <w:sz w:val="24"/>
                <w:highlight w:val="none"/>
              </w:rPr>
              <w:t>负责区域每日2次保洁及巡回保洁；行政楼1层至6层男女公共厕所所有擦手纸巾盒，大盘纸卷盒，厕所隔间卷纸盒每日2次检查更换卫生用纸。</w:t>
            </w:r>
          </w:p>
        </w:tc>
        <w:tc>
          <w:tcPr>
            <w:tcW w:w="2380" w:type="dxa"/>
            <w:vMerge w:val="restart"/>
            <w:tcBorders>
              <w:top w:val="nil"/>
              <w:left w:val="nil"/>
              <w:bottom w:val="single" w:color="000000" w:sz="4" w:space="0"/>
              <w:right w:val="single" w:color="000000" w:sz="4" w:space="0"/>
            </w:tcBorders>
            <w:tcMar>
              <w:top w:w="0" w:type="dxa"/>
              <w:left w:w="105" w:type="dxa"/>
              <w:bottom w:w="0" w:type="dxa"/>
              <w:right w:w="105" w:type="dxa"/>
            </w:tcMar>
            <w:vAlign w:val="top"/>
          </w:tcPr>
          <w:p w14:paraId="50C8FF50">
            <w:pPr>
              <w:pStyle w:val="4"/>
              <w:jc w:val="left"/>
              <w:rPr>
                <w:highlight w:val="none"/>
              </w:rPr>
            </w:pPr>
            <w:r>
              <w:rPr>
                <w:rFonts w:ascii="仿宋_GB2312" w:hAnsi="仿宋_GB2312" w:eastAsia="仿宋_GB2312" w:cs="仿宋_GB2312"/>
                <w:color w:val="000000"/>
                <w:sz w:val="24"/>
                <w:highlight w:val="none"/>
              </w:rPr>
              <w:t>有2年以上工作经验，吃苦耐劳、服务态度好，年龄不满60周岁。身体健康。无刑事违法犯罪记录。</w:t>
            </w:r>
          </w:p>
        </w:tc>
      </w:tr>
      <w:tr w14:paraId="6E2CDD6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24B21DCA">
            <w:pPr>
              <w:rPr>
                <w:highlight w:val="none"/>
              </w:rPr>
            </w:pPr>
          </w:p>
        </w:tc>
        <w:tc>
          <w:tcPr>
            <w:tcW w:w="701" w:type="dxa"/>
            <w:vMerge w:val="continue"/>
            <w:tcBorders>
              <w:top w:val="nil"/>
              <w:left w:val="nil"/>
              <w:bottom w:val="single" w:color="000000" w:sz="4" w:space="0"/>
              <w:right w:val="single" w:color="000000" w:sz="4" w:space="0"/>
            </w:tcBorders>
          </w:tcPr>
          <w:p w14:paraId="21A69D83">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5F5D529E">
            <w:pPr>
              <w:pStyle w:val="4"/>
              <w:jc w:val="left"/>
              <w:rPr>
                <w:highlight w:val="none"/>
              </w:rPr>
            </w:pPr>
            <w:r>
              <w:rPr>
                <w:rFonts w:ascii="仿宋_GB2312" w:hAnsi="仿宋_GB2312" w:eastAsia="仿宋_GB2312" w:cs="仿宋_GB2312"/>
                <w:color w:val="000000"/>
                <w:sz w:val="24"/>
                <w:highlight w:val="none"/>
              </w:rPr>
              <w:t>福道园行政楼1-3层保洁</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31C88680">
            <w:pPr>
              <w:pStyle w:val="4"/>
              <w:jc w:val="left"/>
              <w:rPr>
                <w:highlight w:val="none"/>
              </w:rPr>
            </w:pPr>
            <w:r>
              <w:rPr>
                <w:rFonts w:ascii="仿宋_GB2312" w:hAnsi="仿宋_GB2312" w:eastAsia="仿宋_GB2312" w:cs="仿宋_GB2312"/>
                <w:color w:val="000000"/>
                <w:sz w:val="24"/>
                <w:highlight w:val="none"/>
              </w:rPr>
              <w:t>每日3次保洁及巡回保洁，每月1次清洁玻璃，清理蜘蛛网，厕所地毯清洗。每周1次行政楼2部电梯使用保养油保养清洁。</w:t>
            </w:r>
          </w:p>
        </w:tc>
        <w:tc>
          <w:tcPr>
            <w:tcW w:w="2380" w:type="dxa"/>
            <w:vMerge w:val="continue"/>
            <w:tcBorders>
              <w:top w:val="nil"/>
              <w:left w:val="nil"/>
              <w:bottom w:val="single" w:color="000000" w:sz="4" w:space="0"/>
              <w:right w:val="single" w:color="000000" w:sz="4" w:space="0"/>
            </w:tcBorders>
          </w:tcPr>
          <w:p w14:paraId="7A7AA3EE">
            <w:pPr>
              <w:rPr>
                <w:highlight w:val="none"/>
              </w:rPr>
            </w:pPr>
          </w:p>
        </w:tc>
      </w:tr>
      <w:tr w14:paraId="6A95994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658D48CA">
            <w:pPr>
              <w:rPr>
                <w:highlight w:val="none"/>
              </w:rPr>
            </w:pPr>
          </w:p>
        </w:tc>
        <w:tc>
          <w:tcPr>
            <w:tcW w:w="701" w:type="dxa"/>
            <w:vMerge w:val="continue"/>
            <w:tcBorders>
              <w:top w:val="nil"/>
              <w:left w:val="nil"/>
              <w:bottom w:val="single" w:color="000000" w:sz="4" w:space="0"/>
              <w:right w:val="single" w:color="000000" w:sz="4" w:space="0"/>
            </w:tcBorders>
          </w:tcPr>
          <w:p w14:paraId="479071EA">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6E95C1F3">
            <w:pPr>
              <w:pStyle w:val="4"/>
              <w:jc w:val="left"/>
              <w:rPr>
                <w:highlight w:val="none"/>
              </w:rPr>
            </w:pPr>
            <w:r>
              <w:rPr>
                <w:rFonts w:ascii="仿宋_GB2312" w:hAnsi="仿宋_GB2312" w:eastAsia="仿宋_GB2312" w:cs="仿宋_GB2312"/>
                <w:color w:val="000000"/>
                <w:sz w:val="24"/>
                <w:highlight w:val="none"/>
              </w:rPr>
              <w:t>福道园行政楼4-6层保洁</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5F6865F7">
            <w:pPr>
              <w:pStyle w:val="4"/>
              <w:jc w:val="left"/>
              <w:rPr>
                <w:highlight w:val="none"/>
              </w:rPr>
            </w:pPr>
            <w:r>
              <w:rPr>
                <w:rFonts w:ascii="仿宋_GB2312" w:hAnsi="仿宋_GB2312" w:eastAsia="仿宋_GB2312" w:cs="仿宋_GB2312"/>
                <w:color w:val="000000"/>
                <w:sz w:val="24"/>
                <w:highlight w:val="none"/>
              </w:rPr>
              <w:t>每日3次保洁及巡回保洁，每月1次清洁玻璃，清理蜘蛛网，厕所地毯清洗。</w:t>
            </w:r>
          </w:p>
        </w:tc>
        <w:tc>
          <w:tcPr>
            <w:tcW w:w="2380" w:type="dxa"/>
            <w:vMerge w:val="continue"/>
            <w:tcBorders>
              <w:top w:val="nil"/>
              <w:left w:val="nil"/>
              <w:bottom w:val="single" w:color="000000" w:sz="4" w:space="0"/>
              <w:right w:val="single" w:color="000000" w:sz="4" w:space="0"/>
            </w:tcBorders>
          </w:tcPr>
          <w:p w14:paraId="43259B30">
            <w:pPr>
              <w:rPr>
                <w:highlight w:val="none"/>
              </w:rPr>
            </w:pPr>
          </w:p>
        </w:tc>
      </w:tr>
      <w:tr w14:paraId="7D35E1E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5F085B4E">
            <w:pPr>
              <w:rPr>
                <w:highlight w:val="none"/>
              </w:rPr>
            </w:pPr>
          </w:p>
        </w:tc>
        <w:tc>
          <w:tcPr>
            <w:tcW w:w="701" w:type="dxa"/>
            <w:vMerge w:val="continue"/>
            <w:tcBorders>
              <w:top w:val="nil"/>
              <w:left w:val="nil"/>
              <w:bottom w:val="single" w:color="000000" w:sz="4" w:space="0"/>
              <w:right w:val="single" w:color="000000" w:sz="4" w:space="0"/>
            </w:tcBorders>
          </w:tcPr>
          <w:p w14:paraId="337F403E">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745657EA">
            <w:pPr>
              <w:pStyle w:val="4"/>
              <w:jc w:val="left"/>
              <w:rPr>
                <w:highlight w:val="none"/>
              </w:rPr>
            </w:pPr>
            <w:r>
              <w:rPr>
                <w:rFonts w:ascii="仿宋_GB2312" w:hAnsi="仿宋_GB2312" w:eastAsia="仿宋_GB2312" w:cs="仿宋_GB2312"/>
                <w:color w:val="000000"/>
                <w:sz w:val="24"/>
                <w:highlight w:val="none"/>
              </w:rPr>
              <w:t>福道园自强楼、培训宾馆楼2层保洁</w:t>
            </w:r>
          </w:p>
        </w:tc>
        <w:tc>
          <w:tcPr>
            <w:tcW w:w="2430" w:type="dxa"/>
            <w:vMerge w:val="restart"/>
            <w:tcBorders>
              <w:top w:val="nil"/>
              <w:left w:val="nil"/>
              <w:bottom w:val="single" w:color="000000" w:sz="4" w:space="0"/>
              <w:right w:val="single" w:color="000000" w:sz="4" w:space="0"/>
            </w:tcBorders>
            <w:tcMar>
              <w:top w:w="0" w:type="dxa"/>
              <w:left w:w="105" w:type="dxa"/>
              <w:bottom w:w="0" w:type="dxa"/>
              <w:right w:w="105" w:type="dxa"/>
            </w:tcMar>
            <w:vAlign w:val="top"/>
          </w:tcPr>
          <w:p w14:paraId="5BE8F658">
            <w:pPr>
              <w:pStyle w:val="4"/>
              <w:jc w:val="left"/>
              <w:rPr>
                <w:highlight w:val="none"/>
              </w:rPr>
            </w:pPr>
            <w:r>
              <w:rPr>
                <w:rFonts w:ascii="仿宋_GB2312" w:hAnsi="仿宋_GB2312" w:eastAsia="仿宋_GB2312" w:cs="仿宋_GB2312"/>
                <w:color w:val="000000"/>
                <w:sz w:val="24"/>
                <w:highlight w:val="none"/>
              </w:rPr>
              <w:t>每日2次打扫，保洁内容：公共卫生间内部清洁冲洗、淋浴室内部清洁冲洗、公共走廊拖抹 、安全楼梯每日打扫、楼梯扶手毛巾清洁抹擦、每日垃圾清理、消防栓擦抹、每月1次清理蜘蛛网，</w:t>
            </w:r>
          </w:p>
        </w:tc>
        <w:tc>
          <w:tcPr>
            <w:tcW w:w="2380" w:type="dxa"/>
            <w:vMerge w:val="continue"/>
            <w:tcBorders>
              <w:top w:val="nil"/>
              <w:left w:val="nil"/>
              <w:bottom w:val="single" w:color="000000" w:sz="4" w:space="0"/>
              <w:right w:val="single" w:color="000000" w:sz="4" w:space="0"/>
            </w:tcBorders>
          </w:tcPr>
          <w:p w14:paraId="0BF1F582">
            <w:pPr>
              <w:rPr>
                <w:highlight w:val="none"/>
              </w:rPr>
            </w:pPr>
          </w:p>
        </w:tc>
      </w:tr>
      <w:tr w14:paraId="3A7EDB0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4594784B">
            <w:pPr>
              <w:rPr>
                <w:highlight w:val="none"/>
              </w:rPr>
            </w:pPr>
          </w:p>
        </w:tc>
        <w:tc>
          <w:tcPr>
            <w:tcW w:w="701" w:type="dxa"/>
            <w:vMerge w:val="continue"/>
            <w:tcBorders>
              <w:top w:val="nil"/>
              <w:left w:val="nil"/>
              <w:bottom w:val="single" w:color="000000" w:sz="4" w:space="0"/>
              <w:right w:val="single" w:color="000000" w:sz="4" w:space="0"/>
            </w:tcBorders>
          </w:tcPr>
          <w:p w14:paraId="6BDBA94E">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6B07BFD6">
            <w:pPr>
              <w:pStyle w:val="4"/>
              <w:jc w:val="left"/>
              <w:rPr>
                <w:highlight w:val="none"/>
              </w:rPr>
            </w:pPr>
            <w:r>
              <w:rPr>
                <w:rFonts w:ascii="仿宋_GB2312" w:hAnsi="仿宋_GB2312" w:eastAsia="仿宋_GB2312" w:cs="仿宋_GB2312"/>
                <w:color w:val="000000"/>
                <w:sz w:val="24"/>
                <w:highlight w:val="none"/>
              </w:rPr>
              <w:t>福道园培训学院楼学生宿舍保洁+6#学生宿舍楼保洁</w:t>
            </w:r>
          </w:p>
        </w:tc>
        <w:tc>
          <w:tcPr>
            <w:tcW w:w="2430" w:type="dxa"/>
            <w:vMerge w:val="continue"/>
            <w:tcBorders>
              <w:top w:val="nil"/>
              <w:left w:val="nil"/>
              <w:bottom w:val="single" w:color="000000" w:sz="4" w:space="0"/>
              <w:right w:val="single" w:color="000000" w:sz="4" w:space="0"/>
            </w:tcBorders>
          </w:tcPr>
          <w:p w14:paraId="449A06EF">
            <w:pPr>
              <w:rPr>
                <w:highlight w:val="none"/>
              </w:rPr>
            </w:pPr>
          </w:p>
        </w:tc>
        <w:tc>
          <w:tcPr>
            <w:tcW w:w="2380" w:type="dxa"/>
            <w:vMerge w:val="continue"/>
            <w:tcBorders>
              <w:top w:val="nil"/>
              <w:left w:val="nil"/>
              <w:bottom w:val="single" w:color="000000" w:sz="4" w:space="0"/>
              <w:right w:val="single" w:color="000000" w:sz="4" w:space="0"/>
            </w:tcBorders>
          </w:tcPr>
          <w:p w14:paraId="43EE6618">
            <w:pPr>
              <w:rPr>
                <w:highlight w:val="none"/>
              </w:rPr>
            </w:pPr>
          </w:p>
        </w:tc>
      </w:tr>
      <w:tr w14:paraId="4948124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588C6CEC">
            <w:pPr>
              <w:rPr>
                <w:highlight w:val="none"/>
              </w:rPr>
            </w:pPr>
          </w:p>
        </w:tc>
        <w:tc>
          <w:tcPr>
            <w:tcW w:w="701" w:type="dxa"/>
            <w:vMerge w:val="continue"/>
            <w:tcBorders>
              <w:top w:val="nil"/>
              <w:left w:val="nil"/>
              <w:bottom w:val="single" w:color="000000" w:sz="4" w:space="0"/>
              <w:right w:val="single" w:color="000000" w:sz="4" w:space="0"/>
            </w:tcBorders>
          </w:tcPr>
          <w:p w14:paraId="27EE6EBC">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13604395">
            <w:pPr>
              <w:pStyle w:val="4"/>
              <w:jc w:val="left"/>
              <w:rPr>
                <w:highlight w:val="none"/>
              </w:rPr>
            </w:pPr>
            <w:r>
              <w:rPr>
                <w:rFonts w:ascii="仿宋_GB2312" w:hAnsi="仿宋_GB2312" w:eastAsia="仿宋_GB2312" w:cs="仿宋_GB2312"/>
                <w:color w:val="000000"/>
                <w:sz w:val="24"/>
                <w:highlight w:val="none"/>
              </w:rPr>
              <w:t>福道园15#17#18#19#教职工楼+21#学生宿舍楼保洁</w:t>
            </w:r>
          </w:p>
        </w:tc>
        <w:tc>
          <w:tcPr>
            <w:tcW w:w="2430" w:type="dxa"/>
            <w:vMerge w:val="continue"/>
            <w:tcBorders>
              <w:top w:val="nil"/>
              <w:left w:val="nil"/>
              <w:bottom w:val="single" w:color="000000" w:sz="4" w:space="0"/>
              <w:right w:val="single" w:color="000000" w:sz="4" w:space="0"/>
            </w:tcBorders>
          </w:tcPr>
          <w:p w14:paraId="7CCE68D4">
            <w:pPr>
              <w:rPr>
                <w:highlight w:val="none"/>
              </w:rPr>
            </w:pPr>
          </w:p>
        </w:tc>
        <w:tc>
          <w:tcPr>
            <w:tcW w:w="2380" w:type="dxa"/>
            <w:vMerge w:val="continue"/>
            <w:tcBorders>
              <w:top w:val="nil"/>
              <w:left w:val="nil"/>
              <w:bottom w:val="single" w:color="000000" w:sz="4" w:space="0"/>
              <w:right w:val="single" w:color="000000" w:sz="4" w:space="0"/>
            </w:tcBorders>
          </w:tcPr>
          <w:p w14:paraId="38AB7331">
            <w:pPr>
              <w:rPr>
                <w:highlight w:val="none"/>
              </w:rPr>
            </w:pPr>
          </w:p>
        </w:tc>
      </w:tr>
      <w:tr w14:paraId="0B48102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6AC31CC7">
            <w:pPr>
              <w:rPr>
                <w:highlight w:val="none"/>
              </w:rPr>
            </w:pPr>
          </w:p>
        </w:tc>
        <w:tc>
          <w:tcPr>
            <w:tcW w:w="701" w:type="dxa"/>
            <w:vMerge w:val="continue"/>
            <w:tcBorders>
              <w:top w:val="nil"/>
              <w:left w:val="nil"/>
              <w:bottom w:val="single" w:color="000000" w:sz="4" w:space="0"/>
              <w:right w:val="single" w:color="000000" w:sz="4" w:space="0"/>
            </w:tcBorders>
          </w:tcPr>
          <w:p w14:paraId="3FFB53CD">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337BEE49">
            <w:pPr>
              <w:pStyle w:val="4"/>
              <w:jc w:val="left"/>
              <w:rPr>
                <w:highlight w:val="none"/>
              </w:rPr>
            </w:pPr>
            <w:r>
              <w:rPr>
                <w:rFonts w:ascii="仿宋_GB2312" w:hAnsi="仿宋_GB2312" w:eastAsia="仿宋_GB2312" w:cs="仿宋_GB2312"/>
                <w:color w:val="000000"/>
                <w:sz w:val="24"/>
                <w:highlight w:val="none"/>
              </w:rPr>
              <w:t>福道园22#23#学生宿舍教学楼保洁</w:t>
            </w:r>
          </w:p>
        </w:tc>
        <w:tc>
          <w:tcPr>
            <w:tcW w:w="2430" w:type="dxa"/>
            <w:vMerge w:val="continue"/>
            <w:tcBorders>
              <w:top w:val="nil"/>
              <w:left w:val="nil"/>
              <w:bottom w:val="single" w:color="000000" w:sz="4" w:space="0"/>
              <w:right w:val="single" w:color="000000" w:sz="4" w:space="0"/>
            </w:tcBorders>
          </w:tcPr>
          <w:p w14:paraId="0CBDCFBD">
            <w:pPr>
              <w:rPr>
                <w:highlight w:val="none"/>
              </w:rPr>
            </w:pPr>
          </w:p>
        </w:tc>
        <w:tc>
          <w:tcPr>
            <w:tcW w:w="2380" w:type="dxa"/>
            <w:vMerge w:val="continue"/>
            <w:tcBorders>
              <w:top w:val="nil"/>
              <w:left w:val="nil"/>
              <w:bottom w:val="single" w:color="000000" w:sz="4" w:space="0"/>
              <w:right w:val="single" w:color="000000" w:sz="4" w:space="0"/>
            </w:tcBorders>
          </w:tcPr>
          <w:p w14:paraId="0F55F2EA">
            <w:pPr>
              <w:rPr>
                <w:highlight w:val="none"/>
              </w:rPr>
            </w:pPr>
          </w:p>
        </w:tc>
      </w:tr>
      <w:tr w14:paraId="6CE3C16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0199AA2B">
            <w:pPr>
              <w:rPr>
                <w:highlight w:val="none"/>
              </w:rPr>
            </w:pPr>
          </w:p>
        </w:tc>
        <w:tc>
          <w:tcPr>
            <w:tcW w:w="701" w:type="dxa"/>
            <w:vMerge w:val="continue"/>
            <w:tcBorders>
              <w:top w:val="nil"/>
              <w:left w:val="nil"/>
              <w:bottom w:val="single" w:color="000000" w:sz="4" w:space="0"/>
              <w:right w:val="single" w:color="000000" w:sz="4" w:space="0"/>
            </w:tcBorders>
          </w:tcPr>
          <w:p w14:paraId="771285C0">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7DFB7D61">
            <w:pPr>
              <w:pStyle w:val="4"/>
              <w:jc w:val="left"/>
              <w:rPr>
                <w:highlight w:val="none"/>
              </w:rPr>
            </w:pPr>
            <w:r>
              <w:rPr>
                <w:rFonts w:ascii="仿宋_GB2312" w:hAnsi="仿宋_GB2312" w:eastAsia="仿宋_GB2312" w:cs="仿宋_GB2312"/>
                <w:color w:val="000000"/>
                <w:sz w:val="24"/>
                <w:highlight w:val="none"/>
              </w:rPr>
              <w:t>福道园24#25#学生宿舍楼保洁</w:t>
            </w:r>
          </w:p>
        </w:tc>
        <w:tc>
          <w:tcPr>
            <w:tcW w:w="2430" w:type="dxa"/>
            <w:vMerge w:val="continue"/>
            <w:tcBorders>
              <w:top w:val="nil"/>
              <w:left w:val="nil"/>
              <w:bottom w:val="single" w:color="000000" w:sz="4" w:space="0"/>
              <w:right w:val="single" w:color="000000" w:sz="4" w:space="0"/>
            </w:tcBorders>
          </w:tcPr>
          <w:p w14:paraId="0DE4EA19">
            <w:pPr>
              <w:rPr>
                <w:highlight w:val="none"/>
              </w:rPr>
            </w:pPr>
          </w:p>
        </w:tc>
        <w:tc>
          <w:tcPr>
            <w:tcW w:w="2380" w:type="dxa"/>
            <w:vMerge w:val="continue"/>
            <w:tcBorders>
              <w:top w:val="nil"/>
              <w:left w:val="nil"/>
              <w:bottom w:val="single" w:color="000000" w:sz="4" w:space="0"/>
              <w:right w:val="single" w:color="000000" w:sz="4" w:space="0"/>
            </w:tcBorders>
          </w:tcPr>
          <w:p w14:paraId="062B90E1">
            <w:pPr>
              <w:rPr>
                <w:highlight w:val="none"/>
              </w:rPr>
            </w:pPr>
          </w:p>
        </w:tc>
      </w:tr>
      <w:tr w14:paraId="3C18E4A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568BDC13">
            <w:pPr>
              <w:rPr>
                <w:highlight w:val="none"/>
              </w:rPr>
            </w:pPr>
          </w:p>
        </w:tc>
        <w:tc>
          <w:tcPr>
            <w:tcW w:w="701" w:type="dxa"/>
            <w:vMerge w:val="continue"/>
            <w:tcBorders>
              <w:top w:val="nil"/>
              <w:left w:val="nil"/>
              <w:bottom w:val="single" w:color="000000" w:sz="4" w:space="0"/>
              <w:right w:val="single" w:color="000000" w:sz="4" w:space="0"/>
            </w:tcBorders>
          </w:tcPr>
          <w:p w14:paraId="33EBB7EC">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13C0D940">
            <w:pPr>
              <w:pStyle w:val="4"/>
              <w:jc w:val="left"/>
              <w:rPr>
                <w:highlight w:val="none"/>
              </w:rPr>
            </w:pPr>
            <w:r>
              <w:rPr>
                <w:rFonts w:ascii="仿宋_GB2312" w:hAnsi="仿宋_GB2312" w:eastAsia="仿宋_GB2312" w:cs="仿宋_GB2312"/>
                <w:color w:val="000000"/>
                <w:sz w:val="24"/>
                <w:highlight w:val="none"/>
              </w:rPr>
              <w:t>福道园青年之家+10#实训楼保洁</w:t>
            </w:r>
          </w:p>
        </w:tc>
        <w:tc>
          <w:tcPr>
            <w:tcW w:w="2430" w:type="dxa"/>
            <w:vMerge w:val="continue"/>
            <w:tcBorders>
              <w:top w:val="nil"/>
              <w:left w:val="nil"/>
              <w:bottom w:val="single" w:color="000000" w:sz="4" w:space="0"/>
              <w:right w:val="single" w:color="000000" w:sz="4" w:space="0"/>
            </w:tcBorders>
          </w:tcPr>
          <w:p w14:paraId="3C8964E1">
            <w:pPr>
              <w:rPr>
                <w:highlight w:val="none"/>
              </w:rPr>
            </w:pPr>
          </w:p>
        </w:tc>
        <w:tc>
          <w:tcPr>
            <w:tcW w:w="2380" w:type="dxa"/>
            <w:vMerge w:val="continue"/>
            <w:tcBorders>
              <w:top w:val="nil"/>
              <w:left w:val="nil"/>
              <w:bottom w:val="single" w:color="000000" w:sz="4" w:space="0"/>
              <w:right w:val="single" w:color="000000" w:sz="4" w:space="0"/>
            </w:tcBorders>
          </w:tcPr>
          <w:p w14:paraId="6EB07364">
            <w:pPr>
              <w:rPr>
                <w:highlight w:val="none"/>
              </w:rPr>
            </w:pPr>
          </w:p>
        </w:tc>
      </w:tr>
      <w:tr w14:paraId="47C8DAE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762466E0">
            <w:pPr>
              <w:rPr>
                <w:highlight w:val="none"/>
              </w:rPr>
            </w:pPr>
          </w:p>
        </w:tc>
        <w:tc>
          <w:tcPr>
            <w:tcW w:w="701" w:type="dxa"/>
            <w:vMerge w:val="continue"/>
            <w:tcBorders>
              <w:top w:val="nil"/>
              <w:left w:val="nil"/>
              <w:bottom w:val="single" w:color="000000" w:sz="4" w:space="0"/>
              <w:right w:val="single" w:color="000000" w:sz="4" w:space="0"/>
            </w:tcBorders>
          </w:tcPr>
          <w:p w14:paraId="1AE175E8">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0E7154A2">
            <w:pPr>
              <w:pStyle w:val="4"/>
              <w:jc w:val="left"/>
              <w:rPr>
                <w:highlight w:val="none"/>
              </w:rPr>
            </w:pPr>
            <w:r>
              <w:rPr>
                <w:rFonts w:ascii="仿宋_GB2312" w:hAnsi="仿宋_GB2312" w:eastAsia="仿宋_GB2312" w:cs="仿宋_GB2312"/>
                <w:color w:val="000000"/>
                <w:sz w:val="24"/>
                <w:highlight w:val="none"/>
              </w:rPr>
              <w:t>福道园求是楼+26#教学楼保洁</w:t>
            </w:r>
          </w:p>
        </w:tc>
        <w:tc>
          <w:tcPr>
            <w:tcW w:w="2430" w:type="dxa"/>
            <w:vMerge w:val="continue"/>
            <w:tcBorders>
              <w:top w:val="nil"/>
              <w:left w:val="nil"/>
              <w:bottom w:val="single" w:color="000000" w:sz="4" w:space="0"/>
              <w:right w:val="single" w:color="000000" w:sz="4" w:space="0"/>
            </w:tcBorders>
          </w:tcPr>
          <w:p w14:paraId="2EB2B9A1">
            <w:pPr>
              <w:rPr>
                <w:highlight w:val="none"/>
              </w:rPr>
            </w:pPr>
          </w:p>
        </w:tc>
        <w:tc>
          <w:tcPr>
            <w:tcW w:w="2380" w:type="dxa"/>
            <w:vMerge w:val="continue"/>
            <w:tcBorders>
              <w:top w:val="nil"/>
              <w:left w:val="nil"/>
              <w:bottom w:val="single" w:color="000000" w:sz="4" w:space="0"/>
              <w:right w:val="single" w:color="000000" w:sz="4" w:space="0"/>
            </w:tcBorders>
          </w:tcPr>
          <w:p w14:paraId="4F508DAD">
            <w:pPr>
              <w:rPr>
                <w:highlight w:val="none"/>
              </w:rPr>
            </w:pPr>
          </w:p>
        </w:tc>
      </w:tr>
      <w:tr w14:paraId="69739CE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4D989D10">
            <w:pPr>
              <w:rPr>
                <w:highlight w:val="none"/>
              </w:rPr>
            </w:pPr>
          </w:p>
        </w:tc>
        <w:tc>
          <w:tcPr>
            <w:tcW w:w="701" w:type="dxa"/>
            <w:vMerge w:val="continue"/>
            <w:tcBorders>
              <w:top w:val="nil"/>
              <w:left w:val="nil"/>
              <w:bottom w:val="single" w:color="000000" w:sz="4" w:space="0"/>
              <w:right w:val="single" w:color="000000" w:sz="4" w:space="0"/>
            </w:tcBorders>
          </w:tcPr>
          <w:p w14:paraId="5BD4FA70">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1F8FF3F3">
            <w:pPr>
              <w:pStyle w:val="4"/>
              <w:jc w:val="left"/>
              <w:rPr>
                <w:highlight w:val="none"/>
              </w:rPr>
            </w:pPr>
            <w:r>
              <w:rPr>
                <w:rFonts w:ascii="仿宋_GB2312" w:hAnsi="仿宋_GB2312" w:eastAsia="仿宋_GB2312" w:cs="仿宋_GB2312"/>
                <w:color w:val="000000"/>
                <w:sz w:val="24"/>
                <w:highlight w:val="none"/>
              </w:rPr>
              <w:t>福道园大门主干道外围保洁</w:t>
            </w:r>
          </w:p>
        </w:tc>
        <w:tc>
          <w:tcPr>
            <w:tcW w:w="2430" w:type="dxa"/>
            <w:vMerge w:val="restart"/>
            <w:tcBorders>
              <w:top w:val="nil"/>
              <w:left w:val="nil"/>
              <w:bottom w:val="single" w:color="000000" w:sz="4" w:space="0"/>
              <w:right w:val="single" w:color="000000" w:sz="4" w:space="0"/>
            </w:tcBorders>
            <w:tcMar>
              <w:top w:w="0" w:type="dxa"/>
              <w:left w:w="105" w:type="dxa"/>
              <w:bottom w:w="0" w:type="dxa"/>
              <w:right w:w="105" w:type="dxa"/>
            </w:tcMar>
            <w:vAlign w:val="top"/>
          </w:tcPr>
          <w:p w14:paraId="6289C4BA">
            <w:pPr>
              <w:pStyle w:val="4"/>
              <w:jc w:val="left"/>
              <w:rPr>
                <w:highlight w:val="none"/>
              </w:rPr>
            </w:pPr>
            <w:r>
              <w:rPr>
                <w:rFonts w:ascii="仿宋_GB2312" w:hAnsi="仿宋_GB2312" w:eastAsia="仿宋_GB2312" w:cs="仿宋_GB2312"/>
                <w:color w:val="000000"/>
                <w:sz w:val="24"/>
                <w:highlight w:val="none"/>
              </w:rPr>
              <w:t>每日2次外围道路清扫，保洁清扫区域：福道园大门口主干道外围路面、篮球场外围路面、文体中心外围路面、福道园图书馆周边外围路面、青春田径场路面、天佑桥桥面、中区实训室、福道文化公园、田径场公厕、楼栋周边外围路面。卫生标准：目视无明显垃圾、落叶、杂物及泥沙灰尘。</w:t>
            </w:r>
          </w:p>
        </w:tc>
        <w:tc>
          <w:tcPr>
            <w:tcW w:w="2380" w:type="dxa"/>
            <w:vMerge w:val="continue"/>
            <w:tcBorders>
              <w:top w:val="nil"/>
              <w:left w:val="nil"/>
              <w:bottom w:val="single" w:color="000000" w:sz="4" w:space="0"/>
              <w:right w:val="single" w:color="000000" w:sz="4" w:space="0"/>
            </w:tcBorders>
          </w:tcPr>
          <w:p w14:paraId="3CE9F7DF">
            <w:pPr>
              <w:rPr>
                <w:highlight w:val="none"/>
              </w:rPr>
            </w:pPr>
          </w:p>
        </w:tc>
      </w:tr>
      <w:tr w14:paraId="3D67649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224F4114">
            <w:pPr>
              <w:rPr>
                <w:highlight w:val="none"/>
              </w:rPr>
            </w:pPr>
          </w:p>
        </w:tc>
        <w:tc>
          <w:tcPr>
            <w:tcW w:w="701" w:type="dxa"/>
            <w:vMerge w:val="continue"/>
            <w:tcBorders>
              <w:top w:val="nil"/>
              <w:left w:val="nil"/>
              <w:bottom w:val="single" w:color="000000" w:sz="4" w:space="0"/>
              <w:right w:val="single" w:color="000000" w:sz="4" w:space="0"/>
            </w:tcBorders>
          </w:tcPr>
          <w:p w14:paraId="0D3BC839">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08DAE316">
            <w:pPr>
              <w:pStyle w:val="4"/>
              <w:jc w:val="left"/>
              <w:rPr>
                <w:highlight w:val="none"/>
              </w:rPr>
            </w:pPr>
            <w:r>
              <w:rPr>
                <w:rFonts w:ascii="仿宋_GB2312" w:hAnsi="仿宋_GB2312" w:eastAsia="仿宋_GB2312" w:cs="仿宋_GB2312"/>
                <w:color w:val="000000"/>
                <w:sz w:val="24"/>
                <w:highlight w:val="none"/>
              </w:rPr>
              <w:t>中区实训室外围保洁、福道文化公园保洁</w:t>
            </w:r>
          </w:p>
        </w:tc>
        <w:tc>
          <w:tcPr>
            <w:tcW w:w="2430" w:type="dxa"/>
            <w:vMerge w:val="continue"/>
            <w:tcBorders>
              <w:top w:val="nil"/>
              <w:left w:val="nil"/>
              <w:bottom w:val="single" w:color="000000" w:sz="4" w:space="0"/>
              <w:right w:val="single" w:color="000000" w:sz="4" w:space="0"/>
            </w:tcBorders>
          </w:tcPr>
          <w:p w14:paraId="42EB3A53">
            <w:pPr>
              <w:rPr>
                <w:highlight w:val="none"/>
              </w:rPr>
            </w:pPr>
          </w:p>
        </w:tc>
        <w:tc>
          <w:tcPr>
            <w:tcW w:w="2380" w:type="dxa"/>
            <w:vMerge w:val="continue"/>
            <w:tcBorders>
              <w:top w:val="nil"/>
              <w:left w:val="nil"/>
              <w:bottom w:val="single" w:color="000000" w:sz="4" w:space="0"/>
              <w:right w:val="single" w:color="000000" w:sz="4" w:space="0"/>
            </w:tcBorders>
          </w:tcPr>
          <w:p w14:paraId="5A6C8908">
            <w:pPr>
              <w:rPr>
                <w:highlight w:val="none"/>
              </w:rPr>
            </w:pPr>
          </w:p>
        </w:tc>
      </w:tr>
      <w:tr w14:paraId="5E4854B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5B75AE79">
            <w:pPr>
              <w:rPr>
                <w:highlight w:val="none"/>
              </w:rPr>
            </w:pPr>
          </w:p>
        </w:tc>
        <w:tc>
          <w:tcPr>
            <w:tcW w:w="701" w:type="dxa"/>
            <w:vMerge w:val="continue"/>
            <w:tcBorders>
              <w:top w:val="nil"/>
              <w:left w:val="nil"/>
              <w:bottom w:val="single" w:color="000000" w:sz="4" w:space="0"/>
              <w:right w:val="single" w:color="000000" w:sz="4" w:space="0"/>
            </w:tcBorders>
          </w:tcPr>
          <w:p w14:paraId="70D381AD">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2EDAAAE4">
            <w:pPr>
              <w:pStyle w:val="4"/>
              <w:jc w:val="left"/>
              <w:rPr>
                <w:highlight w:val="none"/>
              </w:rPr>
            </w:pPr>
            <w:r>
              <w:rPr>
                <w:rFonts w:ascii="仿宋_GB2312" w:hAnsi="仿宋_GB2312" w:eastAsia="仿宋_GB2312" w:cs="仿宋_GB2312"/>
                <w:color w:val="000000"/>
                <w:sz w:val="24"/>
                <w:highlight w:val="none"/>
              </w:rPr>
              <w:t>福道园宿舍楼外围、停车场保洁</w:t>
            </w:r>
          </w:p>
        </w:tc>
        <w:tc>
          <w:tcPr>
            <w:tcW w:w="2430" w:type="dxa"/>
            <w:vMerge w:val="continue"/>
            <w:tcBorders>
              <w:top w:val="nil"/>
              <w:left w:val="nil"/>
              <w:bottom w:val="single" w:color="000000" w:sz="4" w:space="0"/>
              <w:right w:val="single" w:color="000000" w:sz="4" w:space="0"/>
            </w:tcBorders>
          </w:tcPr>
          <w:p w14:paraId="21F7F68F">
            <w:pPr>
              <w:rPr>
                <w:highlight w:val="none"/>
              </w:rPr>
            </w:pPr>
          </w:p>
        </w:tc>
        <w:tc>
          <w:tcPr>
            <w:tcW w:w="2380" w:type="dxa"/>
            <w:vMerge w:val="continue"/>
            <w:tcBorders>
              <w:top w:val="nil"/>
              <w:left w:val="nil"/>
              <w:bottom w:val="single" w:color="000000" w:sz="4" w:space="0"/>
              <w:right w:val="single" w:color="000000" w:sz="4" w:space="0"/>
            </w:tcBorders>
          </w:tcPr>
          <w:p w14:paraId="6B8CE854">
            <w:pPr>
              <w:rPr>
                <w:highlight w:val="none"/>
              </w:rPr>
            </w:pPr>
          </w:p>
        </w:tc>
      </w:tr>
      <w:tr w14:paraId="0549CA0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67B19372">
            <w:pPr>
              <w:rPr>
                <w:highlight w:val="none"/>
              </w:rPr>
            </w:pPr>
          </w:p>
        </w:tc>
        <w:tc>
          <w:tcPr>
            <w:tcW w:w="701" w:type="dxa"/>
            <w:vMerge w:val="continue"/>
            <w:tcBorders>
              <w:top w:val="nil"/>
              <w:left w:val="nil"/>
              <w:bottom w:val="single" w:color="000000" w:sz="4" w:space="0"/>
              <w:right w:val="single" w:color="000000" w:sz="4" w:space="0"/>
            </w:tcBorders>
          </w:tcPr>
          <w:p w14:paraId="362396C1">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7B985B85">
            <w:pPr>
              <w:pStyle w:val="4"/>
              <w:jc w:val="left"/>
              <w:rPr>
                <w:highlight w:val="none"/>
              </w:rPr>
            </w:pPr>
            <w:r>
              <w:rPr>
                <w:rFonts w:ascii="仿宋_GB2312" w:hAnsi="仿宋_GB2312" w:eastAsia="仿宋_GB2312" w:cs="仿宋_GB2312"/>
                <w:color w:val="000000"/>
                <w:sz w:val="24"/>
                <w:highlight w:val="none"/>
              </w:rPr>
              <w:t>福道园体育场图书馆外围保洁</w:t>
            </w:r>
          </w:p>
        </w:tc>
        <w:tc>
          <w:tcPr>
            <w:tcW w:w="2430" w:type="dxa"/>
            <w:vMerge w:val="continue"/>
            <w:tcBorders>
              <w:top w:val="nil"/>
              <w:left w:val="nil"/>
              <w:bottom w:val="single" w:color="000000" w:sz="4" w:space="0"/>
              <w:right w:val="single" w:color="000000" w:sz="4" w:space="0"/>
            </w:tcBorders>
          </w:tcPr>
          <w:p w14:paraId="58F63ED5">
            <w:pPr>
              <w:rPr>
                <w:highlight w:val="none"/>
              </w:rPr>
            </w:pPr>
          </w:p>
        </w:tc>
        <w:tc>
          <w:tcPr>
            <w:tcW w:w="2380" w:type="dxa"/>
            <w:vMerge w:val="continue"/>
            <w:tcBorders>
              <w:top w:val="nil"/>
              <w:left w:val="nil"/>
              <w:bottom w:val="single" w:color="000000" w:sz="4" w:space="0"/>
              <w:right w:val="single" w:color="000000" w:sz="4" w:space="0"/>
            </w:tcBorders>
          </w:tcPr>
          <w:p w14:paraId="438397CB">
            <w:pPr>
              <w:rPr>
                <w:highlight w:val="none"/>
              </w:rPr>
            </w:pPr>
          </w:p>
        </w:tc>
      </w:tr>
      <w:tr w14:paraId="7002295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315F9977">
            <w:pPr>
              <w:rPr>
                <w:highlight w:val="none"/>
              </w:rPr>
            </w:pPr>
          </w:p>
        </w:tc>
        <w:tc>
          <w:tcPr>
            <w:tcW w:w="701" w:type="dxa"/>
            <w:vMerge w:val="continue"/>
            <w:tcBorders>
              <w:top w:val="nil"/>
              <w:left w:val="nil"/>
              <w:bottom w:val="single" w:color="000000" w:sz="4" w:space="0"/>
              <w:right w:val="single" w:color="000000" w:sz="4" w:space="0"/>
            </w:tcBorders>
          </w:tcPr>
          <w:p w14:paraId="067B00B0">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3FA17055">
            <w:pPr>
              <w:pStyle w:val="4"/>
              <w:jc w:val="left"/>
              <w:rPr>
                <w:highlight w:val="none"/>
              </w:rPr>
            </w:pPr>
            <w:r>
              <w:rPr>
                <w:rFonts w:ascii="仿宋_GB2312" w:hAnsi="仿宋_GB2312" w:eastAsia="仿宋_GB2312" w:cs="仿宋_GB2312"/>
                <w:color w:val="000000"/>
                <w:sz w:val="24"/>
                <w:highlight w:val="none"/>
              </w:rPr>
              <w:t>福道园文体中心保洁</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1467613E">
            <w:pPr>
              <w:pStyle w:val="4"/>
              <w:jc w:val="left"/>
              <w:rPr>
                <w:highlight w:val="none"/>
              </w:rPr>
            </w:pPr>
            <w:r>
              <w:rPr>
                <w:rFonts w:ascii="仿宋_GB2312" w:hAnsi="仿宋_GB2312" w:eastAsia="仿宋_GB2312" w:cs="仿宋_GB2312"/>
                <w:color w:val="000000"/>
                <w:sz w:val="24"/>
                <w:highlight w:val="none"/>
              </w:rPr>
              <w:t>文体中心每日2次打扫：保洁内容：馆内地面拖抹，看台椅子毛巾清洁抹擦，1个公共厕所卫生清洁。</w:t>
            </w:r>
          </w:p>
        </w:tc>
        <w:tc>
          <w:tcPr>
            <w:tcW w:w="2380" w:type="dxa"/>
            <w:vMerge w:val="continue"/>
            <w:tcBorders>
              <w:top w:val="nil"/>
              <w:left w:val="nil"/>
              <w:bottom w:val="single" w:color="000000" w:sz="4" w:space="0"/>
              <w:right w:val="single" w:color="000000" w:sz="4" w:space="0"/>
            </w:tcBorders>
          </w:tcPr>
          <w:p w14:paraId="4682DBD7">
            <w:pPr>
              <w:rPr>
                <w:highlight w:val="none"/>
              </w:rPr>
            </w:pPr>
          </w:p>
        </w:tc>
      </w:tr>
      <w:tr w14:paraId="0DEF862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09628596">
            <w:pPr>
              <w:rPr>
                <w:highlight w:val="none"/>
              </w:rPr>
            </w:pPr>
          </w:p>
        </w:tc>
        <w:tc>
          <w:tcPr>
            <w:tcW w:w="701" w:type="dxa"/>
            <w:vMerge w:val="continue"/>
            <w:tcBorders>
              <w:top w:val="nil"/>
              <w:left w:val="nil"/>
              <w:bottom w:val="single" w:color="000000" w:sz="4" w:space="0"/>
              <w:right w:val="single" w:color="000000" w:sz="4" w:space="0"/>
            </w:tcBorders>
          </w:tcPr>
          <w:p w14:paraId="1548543A">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7D52B34B">
            <w:pPr>
              <w:pStyle w:val="4"/>
              <w:jc w:val="left"/>
              <w:rPr>
                <w:highlight w:val="none"/>
              </w:rPr>
            </w:pPr>
            <w:r>
              <w:rPr>
                <w:rFonts w:ascii="仿宋_GB2312" w:hAnsi="仿宋_GB2312" w:eastAsia="仿宋_GB2312" w:cs="仿宋_GB2312"/>
                <w:color w:val="000000"/>
                <w:sz w:val="24"/>
                <w:highlight w:val="none"/>
              </w:rPr>
              <w:t>福道园长安机动人员</w:t>
            </w:r>
          </w:p>
        </w:tc>
        <w:tc>
          <w:tcPr>
            <w:tcW w:w="2430" w:type="dxa"/>
            <w:vMerge w:val="restart"/>
            <w:tcBorders>
              <w:top w:val="nil"/>
              <w:left w:val="nil"/>
              <w:bottom w:val="single" w:color="000000" w:sz="4" w:space="0"/>
              <w:right w:val="single" w:color="000000" w:sz="4" w:space="0"/>
            </w:tcBorders>
            <w:tcMar>
              <w:top w:w="0" w:type="dxa"/>
              <w:left w:w="105" w:type="dxa"/>
              <w:bottom w:w="0" w:type="dxa"/>
              <w:right w:w="105" w:type="dxa"/>
            </w:tcMar>
            <w:vAlign w:val="top"/>
          </w:tcPr>
          <w:p w14:paraId="4494EA5B">
            <w:pPr>
              <w:pStyle w:val="4"/>
              <w:jc w:val="left"/>
              <w:rPr>
                <w:highlight w:val="none"/>
              </w:rPr>
            </w:pPr>
            <w:r>
              <w:rPr>
                <w:rFonts w:ascii="仿宋_GB2312" w:hAnsi="仿宋_GB2312" w:eastAsia="仿宋_GB2312" w:cs="仿宋_GB2312"/>
                <w:color w:val="000000"/>
                <w:sz w:val="24"/>
                <w:highlight w:val="none"/>
              </w:rPr>
              <w:t>1、机动岗工作内容：校内外围公共路面冲洗、排水沟清淤，天台排水口清理，宣传栏，喷泉冲洗，大杂物垃圾清理。校内消杀工作</w:t>
            </w:r>
          </w:p>
        </w:tc>
        <w:tc>
          <w:tcPr>
            <w:tcW w:w="2380" w:type="dxa"/>
            <w:vMerge w:val="continue"/>
            <w:tcBorders>
              <w:top w:val="nil"/>
              <w:left w:val="nil"/>
              <w:bottom w:val="single" w:color="000000" w:sz="4" w:space="0"/>
              <w:right w:val="single" w:color="000000" w:sz="4" w:space="0"/>
            </w:tcBorders>
          </w:tcPr>
          <w:p w14:paraId="65075931">
            <w:pPr>
              <w:rPr>
                <w:highlight w:val="none"/>
              </w:rPr>
            </w:pPr>
          </w:p>
        </w:tc>
      </w:tr>
      <w:tr w14:paraId="308F8F4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0D6ACB2D">
            <w:pPr>
              <w:rPr>
                <w:highlight w:val="none"/>
              </w:rPr>
            </w:pPr>
          </w:p>
        </w:tc>
        <w:tc>
          <w:tcPr>
            <w:tcW w:w="701" w:type="dxa"/>
            <w:vMerge w:val="continue"/>
            <w:tcBorders>
              <w:top w:val="nil"/>
              <w:left w:val="nil"/>
              <w:bottom w:val="single" w:color="000000" w:sz="4" w:space="0"/>
              <w:right w:val="single" w:color="000000" w:sz="4" w:space="0"/>
            </w:tcBorders>
          </w:tcPr>
          <w:p w14:paraId="102E928E">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7C815B4D">
            <w:pPr>
              <w:pStyle w:val="4"/>
              <w:jc w:val="left"/>
              <w:rPr>
                <w:highlight w:val="none"/>
              </w:rPr>
            </w:pPr>
            <w:r>
              <w:rPr>
                <w:rFonts w:ascii="仿宋_GB2312" w:hAnsi="仿宋_GB2312" w:eastAsia="仿宋_GB2312" w:cs="仿宋_GB2312"/>
                <w:color w:val="000000"/>
                <w:sz w:val="24"/>
                <w:highlight w:val="none"/>
              </w:rPr>
              <w:t>福道园长安机动人员</w:t>
            </w:r>
          </w:p>
        </w:tc>
        <w:tc>
          <w:tcPr>
            <w:tcW w:w="2430" w:type="dxa"/>
            <w:vMerge w:val="continue"/>
            <w:tcBorders>
              <w:top w:val="nil"/>
              <w:left w:val="nil"/>
              <w:bottom w:val="single" w:color="000000" w:sz="4" w:space="0"/>
              <w:right w:val="single" w:color="000000" w:sz="4" w:space="0"/>
            </w:tcBorders>
          </w:tcPr>
          <w:p w14:paraId="021C92FB">
            <w:pPr>
              <w:rPr>
                <w:highlight w:val="none"/>
              </w:rPr>
            </w:pPr>
          </w:p>
        </w:tc>
        <w:tc>
          <w:tcPr>
            <w:tcW w:w="2380" w:type="dxa"/>
            <w:vMerge w:val="continue"/>
            <w:tcBorders>
              <w:top w:val="nil"/>
              <w:left w:val="nil"/>
              <w:bottom w:val="single" w:color="000000" w:sz="4" w:space="0"/>
              <w:right w:val="single" w:color="000000" w:sz="4" w:space="0"/>
            </w:tcBorders>
          </w:tcPr>
          <w:p w14:paraId="48731CC6">
            <w:pPr>
              <w:rPr>
                <w:highlight w:val="none"/>
              </w:rPr>
            </w:pPr>
          </w:p>
        </w:tc>
      </w:tr>
      <w:tr w14:paraId="7596EA3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045899AD">
            <w:pPr>
              <w:rPr>
                <w:highlight w:val="none"/>
              </w:rPr>
            </w:pPr>
          </w:p>
        </w:tc>
        <w:tc>
          <w:tcPr>
            <w:tcW w:w="701" w:type="dxa"/>
            <w:vMerge w:val="continue"/>
            <w:tcBorders>
              <w:top w:val="nil"/>
              <w:left w:val="nil"/>
              <w:bottom w:val="single" w:color="000000" w:sz="4" w:space="0"/>
              <w:right w:val="single" w:color="000000" w:sz="4" w:space="0"/>
            </w:tcBorders>
          </w:tcPr>
          <w:p w14:paraId="7B8CAC37">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1056038F">
            <w:pPr>
              <w:pStyle w:val="4"/>
              <w:jc w:val="left"/>
              <w:rPr>
                <w:highlight w:val="none"/>
              </w:rPr>
            </w:pPr>
            <w:r>
              <w:rPr>
                <w:rFonts w:ascii="仿宋_GB2312" w:hAnsi="仿宋_GB2312" w:eastAsia="仿宋_GB2312" w:cs="仿宋_GB2312"/>
                <w:color w:val="000000"/>
                <w:sz w:val="24"/>
                <w:highlight w:val="none"/>
              </w:rPr>
              <w:t>福道园垃圾屋分类员</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451CDF56">
            <w:pPr>
              <w:pStyle w:val="4"/>
              <w:jc w:val="left"/>
              <w:rPr>
                <w:highlight w:val="none"/>
              </w:rPr>
            </w:pPr>
            <w:r>
              <w:rPr>
                <w:rFonts w:ascii="仿宋_GB2312" w:hAnsi="仿宋_GB2312" w:eastAsia="仿宋_GB2312" w:cs="仿宋_GB2312"/>
                <w:color w:val="000000"/>
                <w:sz w:val="24"/>
                <w:highlight w:val="none"/>
              </w:rPr>
              <w:t>每日早上6点-晚上21点垃圾屋分类打包清运。每日垃圾分类站门口，站内地面拖抹，消杀，垃圾桶每周清洗1次。</w:t>
            </w:r>
          </w:p>
        </w:tc>
        <w:tc>
          <w:tcPr>
            <w:tcW w:w="2380" w:type="dxa"/>
            <w:vMerge w:val="continue"/>
            <w:tcBorders>
              <w:top w:val="nil"/>
              <w:left w:val="nil"/>
              <w:bottom w:val="single" w:color="000000" w:sz="4" w:space="0"/>
              <w:right w:val="single" w:color="000000" w:sz="4" w:space="0"/>
            </w:tcBorders>
          </w:tcPr>
          <w:p w14:paraId="06389BA6">
            <w:pPr>
              <w:rPr>
                <w:highlight w:val="none"/>
              </w:rPr>
            </w:pPr>
          </w:p>
        </w:tc>
      </w:tr>
      <w:tr w14:paraId="1975D2E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4F3B1011">
            <w:pPr>
              <w:rPr>
                <w:highlight w:val="none"/>
              </w:rPr>
            </w:pPr>
          </w:p>
        </w:tc>
        <w:tc>
          <w:tcPr>
            <w:tcW w:w="701" w:type="dxa"/>
            <w:vMerge w:val="continue"/>
            <w:tcBorders>
              <w:top w:val="nil"/>
              <w:left w:val="nil"/>
              <w:bottom w:val="single" w:color="000000" w:sz="4" w:space="0"/>
              <w:right w:val="single" w:color="000000" w:sz="4" w:space="0"/>
            </w:tcBorders>
          </w:tcPr>
          <w:p w14:paraId="62A961FE">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0FB8EF3C">
            <w:pPr>
              <w:pStyle w:val="4"/>
              <w:jc w:val="left"/>
              <w:rPr>
                <w:highlight w:val="none"/>
              </w:rPr>
            </w:pPr>
            <w:r>
              <w:rPr>
                <w:rFonts w:ascii="仿宋_GB2312" w:hAnsi="仿宋_GB2312" w:eastAsia="仿宋_GB2312" w:cs="仿宋_GB2312"/>
                <w:color w:val="000000"/>
                <w:sz w:val="24"/>
                <w:highlight w:val="none"/>
              </w:rPr>
              <w:t>福道园鉴知楼保洁</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214E2DB9">
            <w:pPr>
              <w:pStyle w:val="4"/>
              <w:jc w:val="left"/>
              <w:rPr>
                <w:highlight w:val="none"/>
              </w:rPr>
            </w:pPr>
            <w:r>
              <w:rPr>
                <w:rFonts w:ascii="仿宋_GB2312" w:hAnsi="仿宋_GB2312" w:eastAsia="仿宋_GB2312" w:cs="仿宋_GB2312"/>
                <w:color w:val="000000"/>
                <w:sz w:val="24"/>
                <w:highlight w:val="none"/>
              </w:rPr>
              <w:t>1、图书馆每日2次打扫，保洁内容：2-12层男女公共卫生间内部清洁冲洗，公共走廊拖抹 ，安全楼梯每日打扫，楼梯扶手毛巾清洁抹擦，每日垃圾清理，过道公共座椅擦抹，消防栓擦抹，公共区域展示台除尘，地下室清扫垃圾。</w:t>
            </w:r>
            <w:r>
              <w:rPr>
                <w:highlight w:val="none"/>
              </w:rPr>
              <w:br w:type="textWrapping"/>
            </w:r>
            <w:r>
              <w:rPr>
                <w:rFonts w:ascii="仿宋_GB2312" w:hAnsi="仿宋_GB2312" w:eastAsia="仿宋_GB2312" w:cs="仿宋_GB2312"/>
                <w:color w:val="000000"/>
                <w:sz w:val="24"/>
                <w:highlight w:val="none"/>
              </w:rPr>
              <w:t>2、每月1次2层玻璃门清洁，清理蜘蛛网。</w:t>
            </w:r>
            <w:r>
              <w:rPr>
                <w:highlight w:val="none"/>
              </w:rPr>
              <w:br w:type="textWrapping"/>
            </w:r>
            <w:r>
              <w:rPr>
                <w:rFonts w:ascii="仿宋_GB2312" w:hAnsi="仿宋_GB2312" w:eastAsia="仿宋_GB2312" w:cs="仿宋_GB2312"/>
                <w:color w:val="000000"/>
                <w:sz w:val="24"/>
                <w:highlight w:val="none"/>
              </w:rPr>
              <w:t>3、每2周1次5部电梯使用保养油保养清洁。</w:t>
            </w:r>
          </w:p>
        </w:tc>
        <w:tc>
          <w:tcPr>
            <w:tcW w:w="2380" w:type="dxa"/>
            <w:vMerge w:val="continue"/>
            <w:tcBorders>
              <w:top w:val="nil"/>
              <w:left w:val="nil"/>
              <w:bottom w:val="single" w:color="000000" w:sz="4" w:space="0"/>
              <w:right w:val="single" w:color="000000" w:sz="4" w:space="0"/>
            </w:tcBorders>
          </w:tcPr>
          <w:p w14:paraId="7675E5CE">
            <w:pPr>
              <w:rPr>
                <w:highlight w:val="none"/>
              </w:rPr>
            </w:pPr>
          </w:p>
        </w:tc>
      </w:tr>
      <w:tr w14:paraId="7DFF16B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689B8B49">
            <w:pPr>
              <w:rPr>
                <w:highlight w:val="none"/>
              </w:rPr>
            </w:pPr>
          </w:p>
        </w:tc>
        <w:tc>
          <w:tcPr>
            <w:tcW w:w="701" w:type="dxa"/>
            <w:vMerge w:val="continue"/>
            <w:tcBorders>
              <w:top w:val="nil"/>
              <w:left w:val="nil"/>
              <w:bottom w:val="single" w:color="000000" w:sz="4" w:space="0"/>
              <w:right w:val="single" w:color="000000" w:sz="4" w:space="0"/>
            </w:tcBorders>
          </w:tcPr>
          <w:p w14:paraId="2F986F8C">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06CB0F6D">
            <w:pPr>
              <w:pStyle w:val="4"/>
              <w:jc w:val="left"/>
              <w:rPr>
                <w:highlight w:val="none"/>
              </w:rPr>
            </w:pPr>
            <w:r>
              <w:rPr>
                <w:rFonts w:ascii="仿宋_GB2312" w:hAnsi="仿宋_GB2312" w:eastAsia="仿宋_GB2312" w:cs="仿宋_GB2312"/>
                <w:color w:val="000000"/>
                <w:sz w:val="24"/>
                <w:highlight w:val="none"/>
              </w:rPr>
              <w:t>长安1#4-6层2#学生宿舍楼保洁</w:t>
            </w:r>
          </w:p>
        </w:tc>
        <w:tc>
          <w:tcPr>
            <w:tcW w:w="2430" w:type="dxa"/>
            <w:vMerge w:val="restart"/>
            <w:tcBorders>
              <w:top w:val="nil"/>
              <w:left w:val="nil"/>
              <w:bottom w:val="single" w:color="000000" w:sz="4" w:space="0"/>
              <w:right w:val="single" w:color="000000" w:sz="4" w:space="0"/>
            </w:tcBorders>
            <w:tcMar>
              <w:top w:w="0" w:type="dxa"/>
              <w:left w:w="105" w:type="dxa"/>
              <w:bottom w:w="0" w:type="dxa"/>
              <w:right w:w="105" w:type="dxa"/>
            </w:tcMar>
            <w:vAlign w:val="top"/>
          </w:tcPr>
          <w:p w14:paraId="427BCC65">
            <w:pPr>
              <w:pStyle w:val="4"/>
              <w:jc w:val="left"/>
              <w:rPr>
                <w:highlight w:val="none"/>
              </w:rPr>
            </w:pPr>
            <w:r>
              <w:rPr>
                <w:rFonts w:ascii="仿宋_GB2312" w:hAnsi="仿宋_GB2312" w:eastAsia="仿宋_GB2312" w:cs="仿宋_GB2312"/>
                <w:color w:val="000000"/>
                <w:sz w:val="24"/>
                <w:highlight w:val="none"/>
              </w:rPr>
              <w:t>每日2次打扫，保洁内容：公共卫生间、淋浴室内部清洁冲洗，公共走廊拖抹 ，安全楼梯每日打扫，楼梯扶手毛巾清洁抹擦，每日垃圾清理。</w:t>
            </w:r>
            <w:r>
              <w:rPr>
                <w:highlight w:val="none"/>
              </w:rPr>
              <w:br w:type="textWrapping"/>
            </w:r>
            <w:r>
              <w:rPr>
                <w:rFonts w:ascii="仿宋_GB2312" w:hAnsi="仿宋_GB2312" w:eastAsia="仿宋_GB2312" w:cs="仿宋_GB2312"/>
                <w:color w:val="000000"/>
                <w:sz w:val="24"/>
                <w:highlight w:val="none"/>
              </w:rPr>
              <w:t>2、每月1次清理蜘蛛网，消防栓擦抹。</w:t>
            </w:r>
          </w:p>
        </w:tc>
        <w:tc>
          <w:tcPr>
            <w:tcW w:w="2380" w:type="dxa"/>
            <w:vMerge w:val="continue"/>
            <w:tcBorders>
              <w:top w:val="nil"/>
              <w:left w:val="nil"/>
              <w:bottom w:val="single" w:color="000000" w:sz="4" w:space="0"/>
              <w:right w:val="single" w:color="000000" w:sz="4" w:space="0"/>
            </w:tcBorders>
          </w:tcPr>
          <w:p w14:paraId="7C38F06A">
            <w:pPr>
              <w:rPr>
                <w:highlight w:val="none"/>
              </w:rPr>
            </w:pPr>
          </w:p>
        </w:tc>
      </w:tr>
      <w:tr w14:paraId="088EB65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202687CB">
            <w:pPr>
              <w:rPr>
                <w:highlight w:val="none"/>
              </w:rPr>
            </w:pPr>
          </w:p>
        </w:tc>
        <w:tc>
          <w:tcPr>
            <w:tcW w:w="701" w:type="dxa"/>
            <w:vMerge w:val="continue"/>
            <w:tcBorders>
              <w:top w:val="nil"/>
              <w:left w:val="nil"/>
              <w:bottom w:val="single" w:color="000000" w:sz="4" w:space="0"/>
              <w:right w:val="single" w:color="000000" w:sz="4" w:space="0"/>
            </w:tcBorders>
          </w:tcPr>
          <w:p w14:paraId="6357EC2F">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2795DF8E">
            <w:pPr>
              <w:pStyle w:val="4"/>
              <w:jc w:val="left"/>
              <w:rPr>
                <w:highlight w:val="none"/>
              </w:rPr>
            </w:pPr>
            <w:r>
              <w:rPr>
                <w:rFonts w:ascii="仿宋_GB2312" w:hAnsi="仿宋_GB2312" w:eastAsia="仿宋_GB2312" w:cs="仿宋_GB2312"/>
                <w:color w:val="000000"/>
                <w:sz w:val="24"/>
                <w:highlight w:val="none"/>
              </w:rPr>
              <w:t>长安4#1#1-3层学生宿舍楼保洁</w:t>
            </w:r>
          </w:p>
        </w:tc>
        <w:tc>
          <w:tcPr>
            <w:tcW w:w="2430" w:type="dxa"/>
            <w:vMerge w:val="continue"/>
            <w:tcBorders>
              <w:top w:val="nil"/>
              <w:left w:val="nil"/>
              <w:bottom w:val="single" w:color="000000" w:sz="4" w:space="0"/>
              <w:right w:val="single" w:color="000000" w:sz="4" w:space="0"/>
            </w:tcBorders>
          </w:tcPr>
          <w:p w14:paraId="631CE0BE">
            <w:pPr>
              <w:rPr>
                <w:highlight w:val="none"/>
              </w:rPr>
            </w:pPr>
          </w:p>
        </w:tc>
        <w:tc>
          <w:tcPr>
            <w:tcW w:w="2380" w:type="dxa"/>
            <w:vMerge w:val="continue"/>
            <w:tcBorders>
              <w:top w:val="nil"/>
              <w:left w:val="nil"/>
              <w:bottom w:val="single" w:color="000000" w:sz="4" w:space="0"/>
              <w:right w:val="single" w:color="000000" w:sz="4" w:space="0"/>
            </w:tcBorders>
          </w:tcPr>
          <w:p w14:paraId="7DBD111D">
            <w:pPr>
              <w:rPr>
                <w:highlight w:val="none"/>
              </w:rPr>
            </w:pPr>
          </w:p>
        </w:tc>
      </w:tr>
      <w:tr w14:paraId="2059EF3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3BE6E405">
            <w:pPr>
              <w:rPr>
                <w:highlight w:val="none"/>
              </w:rPr>
            </w:pPr>
          </w:p>
        </w:tc>
        <w:tc>
          <w:tcPr>
            <w:tcW w:w="701" w:type="dxa"/>
            <w:vMerge w:val="continue"/>
            <w:tcBorders>
              <w:top w:val="nil"/>
              <w:left w:val="nil"/>
              <w:bottom w:val="single" w:color="000000" w:sz="4" w:space="0"/>
              <w:right w:val="single" w:color="000000" w:sz="4" w:space="0"/>
            </w:tcBorders>
          </w:tcPr>
          <w:p w14:paraId="2AB5FF66">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2655DF1F">
            <w:pPr>
              <w:pStyle w:val="4"/>
              <w:jc w:val="left"/>
              <w:rPr>
                <w:highlight w:val="none"/>
              </w:rPr>
            </w:pPr>
            <w:r>
              <w:rPr>
                <w:rFonts w:ascii="仿宋_GB2312" w:hAnsi="仿宋_GB2312" w:eastAsia="仿宋_GB2312" w:cs="仿宋_GB2312"/>
                <w:color w:val="000000"/>
                <w:sz w:val="24"/>
                <w:highlight w:val="none"/>
              </w:rPr>
              <w:t>长安外围、长安垃圾屋分类员</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5B244474">
            <w:pPr>
              <w:pStyle w:val="4"/>
              <w:jc w:val="left"/>
              <w:rPr>
                <w:highlight w:val="none"/>
              </w:rPr>
            </w:pPr>
            <w:r>
              <w:rPr>
                <w:rFonts w:ascii="仿宋_GB2312" w:hAnsi="仿宋_GB2312" w:eastAsia="仿宋_GB2312" w:cs="仿宋_GB2312"/>
                <w:color w:val="000000"/>
                <w:sz w:val="24"/>
                <w:highlight w:val="none"/>
              </w:rPr>
              <w:t>每日2次外围道路清扫，保洁区域：长安校区主干道路面、楼栋周边路面清扫、卫生标准：目视无明显垃圾、落叶、杂物及泥沙灰尘。</w:t>
            </w:r>
            <w:r>
              <w:rPr>
                <w:highlight w:val="none"/>
              </w:rPr>
              <w:br w:type="textWrapping"/>
            </w:r>
            <w:r>
              <w:rPr>
                <w:rFonts w:ascii="仿宋_GB2312" w:hAnsi="仿宋_GB2312" w:eastAsia="仿宋_GB2312" w:cs="仿宋_GB2312"/>
                <w:color w:val="000000"/>
                <w:sz w:val="24"/>
                <w:highlight w:val="none"/>
              </w:rPr>
              <w:t>2、垃圾屋分类打包清运。每日垃圾分类站门口，站内地面拖抹，消杀，垃圾桶每周清洗1次。</w:t>
            </w:r>
          </w:p>
        </w:tc>
        <w:tc>
          <w:tcPr>
            <w:tcW w:w="2380" w:type="dxa"/>
            <w:vMerge w:val="continue"/>
            <w:tcBorders>
              <w:top w:val="nil"/>
              <w:left w:val="nil"/>
              <w:bottom w:val="single" w:color="000000" w:sz="4" w:space="0"/>
              <w:right w:val="single" w:color="000000" w:sz="4" w:space="0"/>
            </w:tcBorders>
          </w:tcPr>
          <w:p w14:paraId="7BD4B29E">
            <w:pPr>
              <w:rPr>
                <w:highlight w:val="none"/>
              </w:rPr>
            </w:pPr>
          </w:p>
        </w:tc>
      </w:tr>
      <w:tr w14:paraId="03BF7C7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4AD3BEF5">
            <w:pPr>
              <w:rPr>
                <w:highlight w:val="none"/>
              </w:rPr>
            </w:pPr>
          </w:p>
        </w:tc>
        <w:tc>
          <w:tcPr>
            <w:tcW w:w="701" w:type="dxa"/>
            <w:vMerge w:val="continue"/>
            <w:tcBorders>
              <w:top w:val="nil"/>
              <w:left w:val="nil"/>
              <w:bottom w:val="single" w:color="000000" w:sz="4" w:space="0"/>
              <w:right w:val="single" w:color="000000" w:sz="4" w:space="0"/>
            </w:tcBorders>
          </w:tcPr>
          <w:p w14:paraId="332596E9">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7383CD16">
            <w:pPr>
              <w:pStyle w:val="4"/>
              <w:jc w:val="left"/>
              <w:rPr>
                <w:highlight w:val="none"/>
              </w:rPr>
            </w:pPr>
            <w:r>
              <w:rPr>
                <w:rFonts w:ascii="仿宋_GB2312" w:hAnsi="仿宋_GB2312" w:eastAsia="仿宋_GB2312" w:cs="仿宋_GB2312"/>
                <w:color w:val="000000"/>
                <w:sz w:val="24"/>
                <w:highlight w:val="none"/>
              </w:rPr>
              <w:t>福航园大门+后花园外围保洁</w:t>
            </w:r>
          </w:p>
        </w:tc>
        <w:tc>
          <w:tcPr>
            <w:tcW w:w="2430" w:type="dxa"/>
            <w:vMerge w:val="restart"/>
            <w:tcBorders>
              <w:top w:val="nil"/>
              <w:left w:val="nil"/>
              <w:bottom w:val="single" w:color="000000" w:sz="4" w:space="0"/>
              <w:right w:val="single" w:color="000000" w:sz="4" w:space="0"/>
            </w:tcBorders>
            <w:tcMar>
              <w:top w:w="0" w:type="dxa"/>
              <w:left w:w="105" w:type="dxa"/>
              <w:bottom w:w="0" w:type="dxa"/>
              <w:right w:w="105" w:type="dxa"/>
            </w:tcMar>
            <w:vAlign w:val="top"/>
          </w:tcPr>
          <w:p w14:paraId="7659460B">
            <w:pPr>
              <w:pStyle w:val="4"/>
              <w:jc w:val="left"/>
              <w:rPr>
                <w:highlight w:val="none"/>
              </w:rPr>
            </w:pPr>
            <w:r>
              <w:rPr>
                <w:rFonts w:ascii="仿宋_GB2312" w:hAnsi="仿宋_GB2312" w:eastAsia="仿宋_GB2312" w:cs="仿宋_GB2312"/>
                <w:color w:val="000000"/>
                <w:sz w:val="24"/>
                <w:highlight w:val="none"/>
              </w:rPr>
              <w:t>每日2次外围道路清扫，保洁区域：福航园主干道外围路面，楼栋周边路面、后花园外围路面清扫、篮球场路面清扫、后竹林公园、飞杨田径场路面，创新楼外围路面，施工馆外围、轨道实训场地外围路面清扫、涵洞通道清扫，卫生标准：目视无明显垃圾、落叶、杂物及泥沙灰尘。</w:t>
            </w:r>
          </w:p>
        </w:tc>
        <w:tc>
          <w:tcPr>
            <w:tcW w:w="2380" w:type="dxa"/>
            <w:vMerge w:val="continue"/>
            <w:tcBorders>
              <w:top w:val="nil"/>
              <w:left w:val="nil"/>
              <w:bottom w:val="single" w:color="000000" w:sz="4" w:space="0"/>
              <w:right w:val="single" w:color="000000" w:sz="4" w:space="0"/>
            </w:tcBorders>
          </w:tcPr>
          <w:p w14:paraId="7A436D0B">
            <w:pPr>
              <w:rPr>
                <w:highlight w:val="none"/>
              </w:rPr>
            </w:pPr>
          </w:p>
        </w:tc>
      </w:tr>
      <w:tr w14:paraId="3C31C46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2BA162E2">
            <w:pPr>
              <w:rPr>
                <w:highlight w:val="none"/>
              </w:rPr>
            </w:pPr>
          </w:p>
        </w:tc>
        <w:tc>
          <w:tcPr>
            <w:tcW w:w="701" w:type="dxa"/>
            <w:vMerge w:val="continue"/>
            <w:tcBorders>
              <w:top w:val="nil"/>
              <w:left w:val="nil"/>
              <w:bottom w:val="single" w:color="000000" w:sz="4" w:space="0"/>
              <w:right w:val="single" w:color="000000" w:sz="4" w:space="0"/>
            </w:tcBorders>
          </w:tcPr>
          <w:p w14:paraId="12683606">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2421C487">
            <w:pPr>
              <w:pStyle w:val="4"/>
              <w:jc w:val="left"/>
              <w:rPr>
                <w:highlight w:val="none"/>
              </w:rPr>
            </w:pPr>
            <w:r>
              <w:rPr>
                <w:rFonts w:ascii="仿宋_GB2312" w:hAnsi="仿宋_GB2312" w:eastAsia="仿宋_GB2312" w:cs="仿宋_GB2312"/>
                <w:color w:val="000000"/>
                <w:sz w:val="24"/>
                <w:highlight w:val="none"/>
              </w:rPr>
              <w:t>福航园篮球场+竹林外围保洁</w:t>
            </w:r>
          </w:p>
        </w:tc>
        <w:tc>
          <w:tcPr>
            <w:tcW w:w="2430" w:type="dxa"/>
            <w:vMerge w:val="continue"/>
            <w:tcBorders>
              <w:top w:val="nil"/>
              <w:left w:val="nil"/>
              <w:bottom w:val="single" w:color="000000" w:sz="4" w:space="0"/>
              <w:right w:val="single" w:color="000000" w:sz="4" w:space="0"/>
            </w:tcBorders>
          </w:tcPr>
          <w:p w14:paraId="56133B8F">
            <w:pPr>
              <w:rPr>
                <w:highlight w:val="none"/>
              </w:rPr>
            </w:pPr>
          </w:p>
        </w:tc>
        <w:tc>
          <w:tcPr>
            <w:tcW w:w="2380" w:type="dxa"/>
            <w:vMerge w:val="continue"/>
            <w:tcBorders>
              <w:top w:val="nil"/>
              <w:left w:val="nil"/>
              <w:bottom w:val="single" w:color="000000" w:sz="4" w:space="0"/>
              <w:right w:val="single" w:color="000000" w:sz="4" w:space="0"/>
            </w:tcBorders>
          </w:tcPr>
          <w:p w14:paraId="3080CB9B">
            <w:pPr>
              <w:rPr>
                <w:highlight w:val="none"/>
              </w:rPr>
            </w:pPr>
          </w:p>
        </w:tc>
      </w:tr>
      <w:tr w14:paraId="0C91110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200CF0AD">
            <w:pPr>
              <w:rPr>
                <w:highlight w:val="none"/>
              </w:rPr>
            </w:pPr>
          </w:p>
        </w:tc>
        <w:tc>
          <w:tcPr>
            <w:tcW w:w="701" w:type="dxa"/>
            <w:vMerge w:val="continue"/>
            <w:tcBorders>
              <w:top w:val="nil"/>
              <w:left w:val="nil"/>
              <w:bottom w:val="single" w:color="000000" w:sz="4" w:space="0"/>
              <w:right w:val="single" w:color="000000" w:sz="4" w:space="0"/>
            </w:tcBorders>
          </w:tcPr>
          <w:p w14:paraId="5ACB16F7">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1D538589">
            <w:pPr>
              <w:pStyle w:val="4"/>
              <w:jc w:val="left"/>
              <w:rPr>
                <w:highlight w:val="none"/>
              </w:rPr>
            </w:pPr>
            <w:r>
              <w:rPr>
                <w:rFonts w:ascii="仿宋_GB2312" w:hAnsi="仿宋_GB2312" w:eastAsia="仿宋_GB2312" w:cs="仿宋_GB2312"/>
                <w:color w:val="000000"/>
                <w:sz w:val="24"/>
                <w:highlight w:val="none"/>
              </w:rPr>
              <w:t>创新楼施工馆外围保洁+飞扬田径场保洁</w:t>
            </w:r>
          </w:p>
        </w:tc>
        <w:tc>
          <w:tcPr>
            <w:tcW w:w="2430" w:type="dxa"/>
            <w:vMerge w:val="continue"/>
            <w:tcBorders>
              <w:top w:val="nil"/>
              <w:left w:val="nil"/>
              <w:bottom w:val="single" w:color="000000" w:sz="4" w:space="0"/>
              <w:right w:val="single" w:color="000000" w:sz="4" w:space="0"/>
            </w:tcBorders>
          </w:tcPr>
          <w:p w14:paraId="2D87BCAB">
            <w:pPr>
              <w:rPr>
                <w:highlight w:val="none"/>
              </w:rPr>
            </w:pPr>
          </w:p>
        </w:tc>
        <w:tc>
          <w:tcPr>
            <w:tcW w:w="2380" w:type="dxa"/>
            <w:vMerge w:val="continue"/>
            <w:tcBorders>
              <w:top w:val="nil"/>
              <w:left w:val="nil"/>
              <w:bottom w:val="single" w:color="000000" w:sz="4" w:space="0"/>
              <w:right w:val="single" w:color="000000" w:sz="4" w:space="0"/>
            </w:tcBorders>
          </w:tcPr>
          <w:p w14:paraId="3BDCA203">
            <w:pPr>
              <w:rPr>
                <w:highlight w:val="none"/>
              </w:rPr>
            </w:pPr>
          </w:p>
        </w:tc>
      </w:tr>
      <w:tr w14:paraId="5A9AB9B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4561BCC2">
            <w:pPr>
              <w:rPr>
                <w:highlight w:val="none"/>
              </w:rPr>
            </w:pPr>
          </w:p>
        </w:tc>
        <w:tc>
          <w:tcPr>
            <w:tcW w:w="701" w:type="dxa"/>
            <w:vMerge w:val="continue"/>
            <w:tcBorders>
              <w:top w:val="nil"/>
              <w:left w:val="nil"/>
              <w:bottom w:val="single" w:color="000000" w:sz="4" w:space="0"/>
              <w:right w:val="single" w:color="000000" w:sz="4" w:space="0"/>
            </w:tcBorders>
          </w:tcPr>
          <w:p w14:paraId="052B2DC0">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45499483">
            <w:pPr>
              <w:pStyle w:val="4"/>
              <w:jc w:val="left"/>
              <w:rPr>
                <w:highlight w:val="none"/>
              </w:rPr>
            </w:pPr>
            <w:r>
              <w:rPr>
                <w:rFonts w:ascii="仿宋_GB2312" w:hAnsi="仿宋_GB2312" w:eastAsia="仿宋_GB2312" w:cs="仿宋_GB2312"/>
                <w:color w:val="000000"/>
                <w:sz w:val="24"/>
                <w:highlight w:val="none"/>
              </w:rPr>
              <w:t>创新楼保洁</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67A63B14">
            <w:pPr>
              <w:pStyle w:val="4"/>
              <w:jc w:val="left"/>
              <w:rPr>
                <w:highlight w:val="none"/>
              </w:rPr>
            </w:pPr>
            <w:r>
              <w:rPr>
                <w:rFonts w:ascii="仿宋_GB2312" w:hAnsi="仿宋_GB2312" w:eastAsia="仿宋_GB2312" w:cs="仿宋_GB2312"/>
                <w:color w:val="000000"/>
                <w:sz w:val="24"/>
                <w:highlight w:val="none"/>
              </w:rPr>
              <w:t>每日2次打扫，保洁内容：公共卫生间内部清洁冲洗，公共走廊拖抹 ，安全楼梯每日打扫，楼梯扶手毛巾清洁抹擦，每日垃圾清理，消防栓擦抹，1楼中心花园清扫和地下室清扫及白色垃圾清理。每月1次清理蜘蛛网，玻璃清洁除尘。</w:t>
            </w:r>
            <w:r>
              <w:rPr>
                <w:highlight w:val="none"/>
              </w:rPr>
              <w:br w:type="textWrapping"/>
            </w:r>
            <w:r>
              <w:rPr>
                <w:rFonts w:ascii="仿宋_GB2312" w:hAnsi="仿宋_GB2312" w:eastAsia="仿宋_GB2312" w:cs="仿宋_GB2312"/>
                <w:color w:val="000000"/>
                <w:sz w:val="24"/>
                <w:highlight w:val="none"/>
              </w:rPr>
              <w:t>2、每周1次2部电梯使用保养油保养清洁</w:t>
            </w:r>
          </w:p>
        </w:tc>
        <w:tc>
          <w:tcPr>
            <w:tcW w:w="2380" w:type="dxa"/>
            <w:vMerge w:val="continue"/>
            <w:tcBorders>
              <w:top w:val="nil"/>
              <w:left w:val="nil"/>
              <w:bottom w:val="single" w:color="000000" w:sz="4" w:space="0"/>
              <w:right w:val="single" w:color="000000" w:sz="4" w:space="0"/>
            </w:tcBorders>
          </w:tcPr>
          <w:p w14:paraId="02D73A1D">
            <w:pPr>
              <w:rPr>
                <w:highlight w:val="none"/>
              </w:rPr>
            </w:pPr>
          </w:p>
        </w:tc>
      </w:tr>
      <w:tr w14:paraId="5D1F119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2886CA16">
            <w:pPr>
              <w:rPr>
                <w:highlight w:val="none"/>
              </w:rPr>
            </w:pPr>
          </w:p>
        </w:tc>
        <w:tc>
          <w:tcPr>
            <w:tcW w:w="701" w:type="dxa"/>
            <w:vMerge w:val="continue"/>
            <w:tcBorders>
              <w:top w:val="nil"/>
              <w:left w:val="nil"/>
              <w:bottom w:val="single" w:color="000000" w:sz="4" w:space="0"/>
              <w:right w:val="single" w:color="000000" w:sz="4" w:space="0"/>
            </w:tcBorders>
          </w:tcPr>
          <w:p w14:paraId="744A73AE">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6A78463E">
            <w:pPr>
              <w:pStyle w:val="4"/>
              <w:jc w:val="left"/>
              <w:rPr>
                <w:highlight w:val="none"/>
              </w:rPr>
            </w:pPr>
            <w:r>
              <w:rPr>
                <w:rFonts w:ascii="仿宋_GB2312" w:hAnsi="仿宋_GB2312" w:eastAsia="仿宋_GB2312" w:cs="仿宋_GB2312"/>
                <w:color w:val="000000"/>
                <w:sz w:val="24"/>
                <w:highlight w:val="none"/>
              </w:rPr>
              <w:t>福航园1#3#学生宿舍楼保洁</w:t>
            </w:r>
          </w:p>
        </w:tc>
        <w:tc>
          <w:tcPr>
            <w:tcW w:w="2430" w:type="dxa"/>
            <w:vMerge w:val="restart"/>
            <w:tcBorders>
              <w:top w:val="nil"/>
              <w:left w:val="nil"/>
              <w:bottom w:val="single" w:color="000000" w:sz="4" w:space="0"/>
              <w:right w:val="single" w:color="000000" w:sz="4" w:space="0"/>
            </w:tcBorders>
            <w:tcMar>
              <w:top w:w="0" w:type="dxa"/>
              <w:left w:w="105" w:type="dxa"/>
              <w:bottom w:w="0" w:type="dxa"/>
              <w:right w:w="105" w:type="dxa"/>
            </w:tcMar>
            <w:vAlign w:val="top"/>
          </w:tcPr>
          <w:p w14:paraId="6116356E">
            <w:pPr>
              <w:pStyle w:val="4"/>
              <w:jc w:val="left"/>
              <w:rPr>
                <w:highlight w:val="none"/>
              </w:rPr>
            </w:pPr>
            <w:r>
              <w:rPr>
                <w:rFonts w:ascii="仿宋_GB2312" w:hAnsi="仿宋_GB2312" w:eastAsia="仿宋_GB2312" w:cs="仿宋_GB2312"/>
                <w:color w:val="000000"/>
                <w:sz w:val="24"/>
                <w:highlight w:val="none"/>
              </w:rPr>
              <w:t>每日2次打扫，保洁内容：公共卫生间内部清洁冲洗、淋浴室内部清洁冲洗、公共走廊拖抹 、安全楼梯每日打扫、楼梯扶手毛巾清洁抹擦、每日垃圾清理、消防栓擦抹、每月1次清理蜘蛛网，</w:t>
            </w:r>
          </w:p>
        </w:tc>
        <w:tc>
          <w:tcPr>
            <w:tcW w:w="2380" w:type="dxa"/>
            <w:vMerge w:val="continue"/>
            <w:tcBorders>
              <w:top w:val="nil"/>
              <w:left w:val="nil"/>
              <w:bottom w:val="single" w:color="000000" w:sz="4" w:space="0"/>
              <w:right w:val="single" w:color="000000" w:sz="4" w:space="0"/>
            </w:tcBorders>
          </w:tcPr>
          <w:p w14:paraId="6E840D62">
            <w:pPr>
              <w:rPr>
                <w:highlight w:val="none"/>
              </w:rPr>
            </w:pPr>
          </w:p>
        </w:tc>
      </w:tr>
      <w:tr w14:paraId="7686734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0961A3DB">
            <w:pPr>
              <w:rPr>
                <w:highlight w:val="none"/>
              </w:rPr>
            </w:pPr>
          </w:p>
        </w:tc>
        <w:tc>
          <w:tcPr>
            <w:tcW w:w="701" w:type="dxa"/>
            <w:vMerge w:val="continue"/>
            <w:tcBorders>
              <w:top w:val="nil"/>
              <w:left w:val="nil"/>
              <w:bottom w:val="single" w:color="000000" w:sz="4" w:space="0"/>
              <w:right w:val="single" w:color="000000" w:sz="4" w:space="0"/>
            </w:tcBorders>
          </w:tcPr>
          <w:p w14:paraId="4D0A0556">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20276460">
            <w:pPr>
              <w:pStyle w:val="4"/>
              <w:jc w:val="left"/>
              <w:rPr>
                <w:highlight w:val="none"/>
              </w:rPr>
            </w:pPr>
            <w:r>
              <w:rPr>
                <w:rFonts w:ascii="仿宋_GB2312" w:hAnsi="仿宋_GB2312" w:eastAsia="仿宋_GB2312" w:cs="仿宋_GB2312"/>
                <w:color w:val="000000"/>
                <w:sz w:val="24"/>
                <w:highlight w:val="none"/>
              </w:rPr>
              <w:t>福航园2#14#学生宿舍楼保洁</w:t>
            </w:r>
          </w:p>
        </w:tc>
        <w:tc>
          <w:tcPr>
            <w:tcW w:w="2430" w:type="dxa"/>
            <w:vMerge w:val="continue"/>
            <w:tcBorders>
              <w:top w:val="nil"/>
              <w:left w:val="nil"/>
              <w:bottom w:val="single" w:color="000000" w:sz="4" w:space="0"/>
              <w:right w:val="single" w:color="000000" w:sz="4" w:space="0"/>
            </w:tcBorders>
          </w:tcPr>
          <w:p w14:paraId="25B4B372">
            <w:pPr>
              <w:rPr>
                <w:highlight w:val="none"/>
              </w:rPr>
            </w:pPr>
          </w:p>
        </w:tc>
        <w:tc>
          <w:tcPr>
            <w:tcW w:w="2380" w:type="dxa"/>
            <w:vMerge w:val="continue"/>
            <w:tcBorders>
              <w:top w:val="nil"/>
              <w:left w:val="nil"/>
              <w:bottom w:val="single" w:color="000000" w:sz="4" w:space="0"/>
              <w:right w:val="single" w:color="000000" w:sz="4" w:space="0"/>
            </w:tcBorders>
          </w:tcPr>
          <w:p w14:paraId="126F2D69">
            <w:pPr>
              <w:rPr>
                <w:highlight w:val="none"/>
              </w:rPr>
            </w:pPr>
          </w:p>
        </w:tc>
      </w:tr>
      <w:tr w14:paraId="5BD2E8B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2A1E89A1">
            <w:pPr>
              <w:rPr>
                <w:highlight w:val="none"/>
              </w:rPr>
            </w:pPr>
          </w:p>
        </w:tc>
        <w:tc>
          <w:tcPr>
            <w:tcW w:w="701" w:type="dxa"/>
            <w:vMerge w:val="continue"/>
            <w:tcBorders>
              <w:top w:val="nil"/>
              <w:left w:val="nil"/>
              <w:bottom w:val="single" w:color="000000" w:sz="4" w:space="0"/>
              <w:right w:val="single" w:color="000000" w:sz="4" w:space="0"/>
            </w:tcBorders>
          </w:tcPr>
          <w:p w14:paraId="1402586C">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527369B3">
            <w:pPr>
              <w:pStyle w:val="4"/>
              <w:jc w:val="left"/>
              <w:rPr>
                <w:highlight w:val="none"/>
              </w:rPr>
            </w:pPr>
            <w:r>
              <w:rPr>
                <w:rFonts w:ascii="仿宋_GB2312" w:hAnsi="仿宋_GB2312" w:eastAsia="仿宋_GB2312" w:cs="仿宋_GB2312"/>
                <w:color w:val="000000"/>
                <w:sz w:val="24"/>
                <w:highlight w:val="none"/>
              </w:rPr>
              <w:t>福航园5#6#7#学生宿舍楼保洁</w:t>
            </w:r>
          </w:p>
        </w:tc>
        <w:tc>
          <w:tcPr>
            <w:tcW w:w="2430" w:type="dxa"/>
            <w:vMerge w:val="continue"/>
            <w:tcBorders>
              <w:top w:val="nil"/>
              <w:left w:val="nil"/>
              <w:bottom w:val="single" w:color="000000" w:sz="4" w:space="0"/>
              <w:right w:val="single" w:color="000000" w:sz="4" w:space="0"/>
            </w:tcBorders>
          </w:tcPr>
          <w:p w14:paraId="649C6227">
            <w:pPr>
              <w:rPr>
                <w:highlight w:val="none"/>
              </w:rPr>
            </w:pPr>
          </w:p>
        </w:tc>
        <w:tc>
          <w:tcPr>
            <w:tcW w:w="2380" w:type="dxa"/>
            <w:vMerge w:val="continue"/>
            <w:tcBorders>
              <w:top w:val="nil"/>
              <w:left w:val="nil"/>
              <w:bottom w:val="single" w:color="000000" w:sz="4" w:space="0"/>
              <w:right w:val="single" w:color="000000" w:sz="4" w:space="0"/>
            </w:tcBorders>
          </w:tcPr>
          <w:p w14:paraId="76DBE995">
            <w:pPr>
              <w:rPr>
                <w:highlight w:val="none"/>
              </w:rPr>
            </w:pPr>
          </w:p>
        </w:tc>
      </w:tr>
      <w:tr w14:paraId="13BF26B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522CCFC8">
            <w:pPr>
              <w:rPr>
                <w:highlight w:val="none"/>
              </w:rPr>
            </w:pPr>
          </w:p>
        </w:tc>
        <w:tc>
          <w:tcPr>
            <w:tcW w:w="701" w:type="dxa"/>
            <w:vMerge w:val="continue"/>
            <w:tcBorders>
              <w:top w:val="nil"/>
              <w:left w:val="nil"/>
              <w:bottom w:val="single" w:color="000000" w:sz="4" w:space="0"/>
              <w:right w:val="single" w:color="000000" w:sz="4" w:space="0"/>
            </w:tcBorders>
          </w:tcPr>
          <w:p w14:paraId="51131985">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101EEA47">
            <w:pPr>
              <w:pStyle w:val="4"/>
              <w:jc w:val="left"/>
              <w:rPr>
                <w:highlight w:val="none"/>
              </w:rPr>
            </w:pPr>
            <w:r>
              <w:rPr>
                <w:rFonts w:ascii="仿宋_GB2312" w:hAnsi="仿宋_GB2312" w:eastAsia="仿宋_GB2312" w:cs="仿宋_GB2312"/>
                <w:color w:val="000000"/>
                <w:sz w:val="24"/>
                <w:highlight w:val="none"/>
              </w:rPr>
              <w:t>福航园9#10#11#学生宿舍楼保洁</w:t>
            </w:r>
          </w:p>
        </w:tc>
        <w:tc>
          <w:tcPr>
            <w:tcW w:w="2430" w:type="dxa"/>
            <w:vMerge w:val="continue"/>
            <w:tcBorders>
              <w:top w:val="nil"/>
              <w:left w:val="nil"/>
              <w:bottom w:val="single" w:color="000000" w:sz="4" w:space="0"/>
              <w:right w:val="single" w:color="000000" w:sz="4" w:space="0"/>
            </w:tcBorders>
          </w:tcPr>
          <w:p w14:paraId="42483F1A">
            <w:pPr>
              <w:rPr>
                <w:highlight w:val="none"/>
              </w:rPr>
            </w:pPr>
          </w:p>
        </w:tc>
        <w:tc>
          <w:tcPr>
            <w:tcW w:w="2380" w:type="dxa"/>
            <w:vMerge w:val="continue"/>
            <w:tcBorders>
              <w:top w:val="nil"/>
              <w:left w:val="nil"/>
              <w:bottom w:val="single" w:color="000000" w:sz="4" w:space="0"/>
              <w:right w:val="single" w:color="000000" w:sz="4" w:space="0"/>
            </w:tcBorders>
          </w:tcPr>
          <w:p w14:paraId="19B624DD">
            <w:pPr>
              <w:rPr>
                <w:highlight w:val="none"/>
              </w:rPr>
            </w:pPr>
          </w:p>
        </w:tc>
      </w:tr>
      <w:tr w14:paraId="7D4FE23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22358527">
            <w:pPr>
              <w:rPr>
                <w:highlight w:val="none"/>
              </w:rPr>
            </w:pPr>
          </w:p>
        </w:tc>
        <w:tc>
          <w:tcPr>
            <w:tcW w:w="701" w:type="dxa"/>
            <w:vMerge w:val="continue"/>
            <w:tcBorders>
              <w:top w:val="nil"/>
              <w:left w:val="nil"/>
              <w:bottom w:val="single" w:color="000000" w:sz="4" w:space="0"/>
              <w:right w:val="single" w:color="000000" w:sz="4" w:space="0"/>
            </w:tcBorders>
          </w:tcPr>
          <w:p w14:paraId="2206A647">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1F296302">
            <w:pPr>
              <w:pStyle w:val="4"/>
              <w:jc w:val="left"/>
              <w:rPr>
                <w:highlight w:val="none"/>
              </w:rPr>
            </w:pPr>
            <w:r>
              <w:rPr>
                <w:rFonts w:ascii="仿宋_GB2312" w:hAnsi="仿宋_GB2312" w:eastAsia="仿宋_GB2312" w:cs="仿宋_GB2312"/>
                <w:color w:val="000000"/>
                <w:sz w:val="24"/>
                <w:highlight w:val="none"/>
              </w:rPr>
              <w:t>福航园4#15#16#培训宿舍楼保洁</w:t>
            </w:r>
          </w:p>
        </w:tc>
        <w:tc>
          <w:tcPr>
            <w:tcW w:w="2430" w:type="dxa"/>
            <w:vMerge w:val="continue"/>
            <w:tcBorders>
              <w:top w:val="nil"/>
              <w:left w:val="nil"/>
              <w:bottom w:val="single" w:color="000000" w:sz="4" w:space="0"/>
              <w:right w:val="single" w:color="000000" w:sz="4" w:space="0"/>
            </w:tcBorders>
          </w:tcPr>
          <w:p w14:paraId="16EDEDBA">
            <w:pPr>
              <w:rPr>
                <w:highlight w:val="none"/>
              </w:rPr>
            </w:pPr>
          </w:p>
        </w:tc>
        <w:tc>
          <w:tcPr>
            <w:tcW w:w="2380" w:type="dxa"/>
            <w:vMerge w:val="continue"/>
            <w:tcBorders>
              <w:top w:val="nil"/>
              <w:left w:val="nil"/>
              <w:bottom w:val="single" w:color="000000" w:sz="4" w:space="0"/>
              <w:right w:val="single" w:color="000000" w:sz="4" w:space="0"/>
            </w:tcBorders>
          </w:tcPr>
          <w:p w14:paraId="1A169FA0">
            <w:pPr>
              <w:rPr>
                <w:highlight w:val="none"/>
              </w:rPr>
            </w:pPr>
          </w:p>
        </w:tc>
      </w:tr>
      <w:tr w14:paraId="6B3265B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59DD1E12">
            <w:pPr>
              <w:rPr>
                <w:highlight w:val="none"/>
              </w:rPr>
            </w:pPr>
          </w:p>
        </w:tc>
        <w:tc>
          <w:tcPr>
            <w:tcW w:w="701" w:type="dxa"/>
            <w:vMerge w:val="continue"/>
            <w:tcBorders>
              <w:top w:val="nil"/>
              <w:left w:val="nil"/>
              <w:bottom w:val="single" w:color="000000" w:sz="4" w:space="0"/>
              <w:right w:val="single" w:color="000000" w:sz="4" w:space="0"/>
            </w:tcBorders>
          </w:tcPr>
          <w:p w14:paraId="3787B8CB">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4BB09838">
            <w:pPr>
              <w:pStyle w:val="4"/>
              <w:jc w:val="left"/>
              <w:rPr>
                <w:highlight w:val="none"/>
              </w:rPr>
            </w:pPr>
            <w:r>
              <w:rPr>
                <w:rFonts w:ascii="仿宋_GB2312" w:hAnsi="仿宋_GB2312" w:eastAsia="仿宋_GB2312" w:cs="仿宋_GB2312"/>
                <w:color w:val="000000"/>
                <w:sz w:val="24"/>
                <w:highlight w:val="none"/>
              </w:rPr>
              <w:t>福航园垃圾屋分类员</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75A6B1CA">
            <w:pPr>
              <w:pStyle w:val="4"/>
              <w:jc w:val="left"/>
              <w:rPr>
                <w:highlight w:val="none"/>
              </w:rPr>
            </w:pPr>
            <w:r>
              <w:rPr>
                <w:rFonts w:ascii="仿宋_GB2312" w:hAnsi="仿宋_GB2312" w:eastAsia="仿宋_GB2312" w:cs="仿宋_GB2312"/>
                <w:color w:val="000000"/>
                <w:sz w:val="24"/>
                <w:highlight w:val="none"/>
              </w:rPr>
              <w:t>每日早上6点-晚上21点垃圾屋分类打包清运。每日垃圾分类站门口，站内地面拖抹，消杀，垃圾桶每周清洗1次。</w:t>
            </w:r>
          </w:p>
        </w:tc>
        <w:tc>
          <w:tcPr>
            <w:tcW w:w="2380" w:type="dxa"/>
            <w:vMerge w:val="continue"/>
            <w:tcBorders>
              <w:top w:val="nil"/>
              <w:left w:val="nil"/>
              <w:bottom w:val="single" w:color="000000" w:sz="4" w:space="0"/>
              <w:right w:val="single" w:color="000000" w:sz="4" w:space="0"/>
            </w:tcBorders>
          </w:tcPr>
          <w:p w14:paraId="434B2A54">
            <w:pPr>
              <w:rPr>
                <w:highlight w:val="none"/>
              </w:rPr>
            </w:pPr>
          </w:p>
        </w:tc>
      </w:tr>
      <w:tr w14:paraId="43B0C0A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628F4144">
            <w:pPr>
              <w:rPr>
                <w:highlight w:val="none"/>
              </w:rPr>
            </w:pPr>
          </w:p>
        </w:tc>
        <w:tc>
          <w:tcPr>
            <w:tcW w:w="701" w:type="dxa"/>
            <w:vMerge w:val="continue"/>
            <w:tcBorders>
              <w:top w:val="nil"/>
              <w:left w:val="nil"/>
              <w:bottom w:val="single" w:color="000000" w:sz="4" w:space="0"/>
              <w:right w:val="single" w:color="000000" w:sz="4" w:space="0"/>
            </w:tcBorders>
          </w:tcPr>
          <w:p w14:paraId="21ECAB02">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334A5F74">
            <w:pPr>
              <w:pStyle w:val="4"/>
              <w:jc w:val="left"/>
              <w:rPr>
                <w:highlight w:val="none"/>
              </w:rPr>
            </w:pPr>
            <w:r>
              <w:rPr>
                <w:rFonts w:ascii="仿宋_GB2312" w:hAnsi="仿宋_GB2312" w:eastAsia="仿宋_GB2312" w:cs="仿宋_GB2312"/>
                <w:color w:val="000000"/>
                <w:sz w:val="24"/>
                <w:highlight w:val="none"/>
              </w:rPr>
              <w:t>福佑园外围保洁、垃圾屋分类员</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4EFCA717">
            <w:pPr>
              <w:pStyle w:val="4"/>
              <w:jc w:val="left"/>
              <w:rPr>
                <w:highlight w:val="none"/>
              </w:rPr>
            </w:pPr>
            <w:r>
              <w:rPr>
                <w:rFonts w:ascii="仿宋_GB2312" w:hAnsi="仿宋_GB2312" w:eastAsia="仿宋_GB2312" w:cs="仿宋_GB2312"/>
                <w:color w:val="000000"/>
                <w:sz w:val="24"/>
                <w:highlight w:val="none"/>
              </w:rPr>
              <w:t>每日2次外围道路清扫，保洁区域：福佑园校区楼栋外围路面，操场路面清扫，卫生标准：目视无明显垃圾、落叶、杂物及泥沙灰尘。</w:t>
            </w:r>
            <w:r>
              <w:rPr>
                <w:highlight w:val="none"/>
              </w:rPr>
              <w:br w:type="textWrapping"/>
            </w:r>
            <w:r>
              <w:rPr>
                <w:rFonts w:ascii="仿宋_GB2312" w:hAnsi="仿宋_GB2312" w:eastAsia="仿宋_GB2312" w:cs="仿宋_GB2312"/>
                <w:color w:val="000000"/>
                <w:sz w:val="24"/>
                <w:highlight w:val="none"/>
              </w:rPr>
              <w:t>2、垃圾屋分类打包清运。每日垃圾分类站门口，站内地面拖抹，消杀，垃圾桶每周清洗1次。</w:t>
            </w:r>
          </w:p>
        </w:tc>
        <w:tc>
          <w:tcPr>
            <w:tcW w:w="2380" w:type="dxa"/>
            <w:vMerge w:val="continue"/>
            <w:tcBorders>
              <w:top w:val="nil"/>
              <w:left w:val="nil"/>
              <w:bottom w:val="single" w:color="000000" w:sz="4" w:space="0"/>
              <w:right w:val="single" w:color="000000" w:sz="4" w:space="0"/>
            </w:tcBorders>
          </w:tcPr>
          <w:p w14:paraId="02480651">
            <w:pPr>
              <w:rPr>
                <w:highlight w:val="none"/>
              </w:rPr>
            </w:pPr>
          </w:p>
        </w:tc>
      </w:tr>
      <w:tr w14:paraId="745211F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78193CC7">
            <w:pPr>
              <w:rPr>
                <w:highlight w:val="none"/>
              </w:rPr>
            </w:pPr>
          </w:p>
        </w:tc>
        <w:tc>
          <w:tcPr>
            <w:tcW w:w="701" w:type="dxa"/>
            <w:vMerge w:val="continue"/>
            <w:tcBorders>
              <w:top w:val="nil"/>
              <w:left w:val="nil"/>
              <w:bottom w:val="single" w:color="000000" w:sz="4" w:space="0"/>
              <w:right w:val="single" w:color="000000" w:sz="4" w:space="0"/>
            </w:tcBorders>
          </w:tcPr>
          <w:p w14:paraId="6279A56E">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6465AE8E">
            <w:pPr>
              <w:pStyle w:val="4"/>
              <w:jc w:val="left"/>
              <w:rPr>
                <w:highlight w:val="none"/>
              </w:rPr>
            </w:pPr>
            <w:r>
              <w:rPr>
                <w:rFonts w:ascii="仿宋_GB2312" w:hAnsi="仿宋_GB2312" w:eastAsia="仿宋_GB2312" w:cs="仿宋_GB2312"/>
                <w:color w:val="000000"/>
                <w:sz w:val="24"/>
                <w:highlight w:val="none"/>
              </w:rPr>
              <w:t>福佑园教学宿舍楼栋保洁</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1309B63F">
            <w:pPr>
              <w:pStyle w:val="4"/>
              <w:jc w:val="left"/>
              <w:rPr>
                <w:highlight w:val="none"/>
              </w:rPr>
            </w:pPr>
            <w:r>
              <w:rPr>
                <w:rFonts w:ascii="仿宋_GB2312" w:hAnsi="仿宋_GB2312" w:eastAsia="仿宋_GB2312" w:cs="仿宋_GB2312"/>
                <w:color w:val="000000"/>
                <w:sz w:val="24"/>
                <w:highlight w:val="none"/>
              </w:rPr>
              <w:t>每日2次打扫，保洁内容：公共卫生间内部清洁冲洗、淋浴室内部清洁冲洗、公共走廊拖抹 、安全楼梯每日打扫、楼梯扶手毛巾清洁抹擦、每日垃圾清理、消防栓擦抹、每月1次清理蜘蛛网。</w:t>
            </w:r>
          </w:p>
        </w:tc>
        <w:tc>
          <w:tcPr>
            <w:tcW w:w="2380" w:type="dxa"/>
            <w:vMerge w:val="continue"/>
            <w:tcBorders>
              <w:top w:val="nil"/>
              <w:left w:val="nil"/>
              <w:bottom w:val="single" w:color="000000" w:sz="4" w:space="0"/>
              <w:right w:val="single" w:color="000000" w:sz="4" w:space="0"/>
            </w:tcBorders>
          </w:tcPr>
          <w:p w14:paraId="726CFE90">
            <w:pPr>
              <w:rPr>
                <w:highlight w:val="none"/>
              </w:rPr>
            </w:pPr>
          </w:p>
        </w:tc>
      </w:tr>
      <w:tr w14:paraId="722521D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6AD20A27">
            <w:pPr>
              <w:rPr>
                <w:highlight w:val="none"/>
              </w:rPr>
            </w:pPr>
          </w:p>
        </w:tc>
        <w:tc>
          <w:tcPr>
            <w:tcW w:w="701" w:type="dxa"/>
            <w:vMerge w:val="continue"/>
            <w:tcBorders>
              <w:top w:val="nil"/>
              <w:left w:val="nil"/>
              <w:bottom w:val="single" w:color="000000" w:sz="4" w:space="0"/>
              <w:right w:val="single" w:color="000000" w:sz="4" w:space="0"/>
            </w:tcBorders>
          </w:tcPr>
          <w:p w14:paraId="1D076C37">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765CF3E0">
            <w:pPr>
              <w:pStyle w:val="4"/>
              <w:jc w:val="left"/>
              <w:rPr>
                <w:highlight w:val="none"/>
              </w:rPr>
            </w:pPr>
            <w:r>
              <w:rPr>
                <w:rFonts w:ascii="仿宋_GB2312" w:hAnsi="仿宋_GB2312" w:eastAsia="仿宋_GB2312" w:cs="仿宋_GB2312"/>
                <w:color w:val="000000"/>
                <w:sz w:val="24"/>
                <w:highlight w:val="none"/>
              </w:rPr>
              <w:t>南福航园机动人员+停机坪保洁</w:t>
            </w:r>
          </w:p>
        </w:tc>
        <w:tc>
          <w:tcPr>
            <w:tcW w:w="2430" w:type="dxa"/>
            <w:vMerge w:val="restart"/>
            <w:tcBorders>
              <w:top w:val="nil"/>
              <w:left w:val="nil"/>
              <w:bottom w:val="single" w:color="000000" w:sz="4" w:space="0"/>
              <w:right w:val="single" w:color="000000" w:sz="4" w:space="0"/>
            </w:tcBorders>
            <w:tcMar>
              <w:top w:w="0" w:type="dxa"/>
              <w:left w:w="105" w:type="dxa"/>
              <w:bottom w:w="0" w:type="dxa"/>
              <w:right w:w="105" w:type="dxa"/>
            </w:tcMar>
            <w:vAlign w:val="top"/>
          </w:tcPr>
          <w:p w14:paraId="70011EF1">
            <w:pPr>
              <w:pStyle w:val="4"/>
              <w:jc w:val="left"/>
              <w:rPr>
                <w:highlight w:val="none"/>
              </w:rPr>
            </w:pPr>
            <w:r>
              <w:rPr>
                <w:rFonts w:ascii="仿宋_GB2312" w:hAnsi="仿宋_GB2312" w:eastAsia="仿宋_GB2312" w:cs="仿宋_GB2312"/>
                <w:color w:val="000000"/>
                <w:sz w:val="24"/>
                <w:highlight w:val="none"/>
              </w:rPr>
              <w:t>1、机动岗工作内容：校内外围公共路面冲洗、排水沟清淤，天台排水口清理，宣传栏，冲洗，大杂物垃圾清理。校内消杀工作。</w:t>
            </w:r>
            <w:r>
              <w:rPr>
                <w:highlight w:val="none"/>
              </w:rPr>
              <w:br w:type="textWrapping"/>
            </w:r>
            <w:r>
              <w:rPr>
                <w:rFonts w:ascii="仿宋_GB2312" w:hAnsi="仿宋_GB2312" w:eastAsia="仿宋_GB2312" w:cs="仿宋_GB2312"/>
                <w:color w:val="000000"/>
                <w:sz w:val="24"/>
                <w:highlight w:val="none"/>
              </w:rPr>
              <w:t>3、每日2次停机坪、篮球场路面清扫，无明显垃圾，杂物。</w:t>
            </w:r>
          </w:p>
        </w:tc>
        <w:tc>
          <w:tcPr>
            <w:tcW w:w="2380" w:type="dxa"/>
            <w:vMerge w:val="continue"/>
            <w:tcBorders>
              <w:top w:val="nil"/>
              <w:left w:val="nil"/>
              <w:bottom w:val="single" w:color="000000" w:sz="4" w:space="0"/>
              <w:right w:val="single" w:color="000000" w:sz="4" w:space="0"/>
            </w:tcBorders>
          </w:tcPr>
          <w:p w14:paraId="062549AB">
            <w:pPr>
              <w:rPr>
                <w:highlight w:val="none"/>
              </w:rPr>
            </w:pPr>
          </w:p>
        </w:tc>
      </w:tr>
      <w:tr w14:paraId="04C5CA0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5C2B35F9">
            <w:pPr>
              <w:rPr>
                <w:highlight w:val="none"/>
              </w:rPr>
            </w:pPr>
          </w:p>
        </w:tc>
        <w:tc>
          <w:tcPr>
            <w:tcW w:w="701" w:type="dxa"/>
            <w:vMerge w:val="continue"/>
            <w:tcBorders>
              <w:top w:val="nil"/>
              <w:left w:val="nil"/>
              <w:bottom w:val="single" w:color="000000" w:sz="4" w:space="0"/>
              <w:right w:val="single" w:color="000000" w:sz="4" w:space="0"/>
            </w:tcBorders>
          </w:tcPr>
          <w:p w14:paraId="2A13DCE0">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7BE0A58C">
            <w:pPr>
              <w:pStyle w:val="4"/>
              <w:jc w:val="left"/>
              <w:rPr>
                <w:highlight w:val="none"/>
              </w:rPr>
            </w:pPr>
            <w:r>
              <w:rPr>
                <w:rFonts w:ascii="仿宋_GB2312" w:hAnsi="仿宋_GB2312" w:eastAsia="仿宋_GB2312" w:cs="仿宋_GB2312"/>
                <w:color w:val="000000"/>
                <w:sz w:val="24"/>
                <w:highlight w:val="none"/>
              </w:rPr>
              <w:t>南福航园机动人员+篮球场保洁</w:t>
            </w:r>
          </w:p>
        </w:tc>
        <w:tc>
          <w:tcPr>
            <w:tcW w:w="2430" w:type="dxa"/>
            <w:vMerge w:val="continue"/>
            <w:tcBorders>
              <w:top w:val="nil"/>
              <w:left w:val="nil"/>
              <w:bottom w:val="single" w:color="000000" w:sz="4" w:space="0"/>
              <w:right w:val="single" w:color="000000" w:sz="4" w:space="0"/>
            </w:tcBorders>
          </w:tcPr>
          <w:p w14:paraId="2729FB35">
            <w:pPr>
              <w:rPr>
                <w:highlight w:val="none"/>
              </w:rPr>
            </w:pPr>
          </w:p>
        </w:tc>
        <w:tc>
          <w:tcPr>
            <w:tcW w:w="2380" w:type="dxa"/>
            <w:vMerge w:val="continue"/>
            <w:tcBorders>
              <w:top w:val="nil"/>
              <w:left w:val="nil"/>
              <w:bottom w:val="single" w:color="000000" w:sz="4" w:space="0"/>
              <w:right w:val="single" w:color="000000" w:sz="4" w:space="0"/>
            </w:tcBorders>
          </w:tcPr>
          <w:p w14:paraId="1966638D">
            <w:pPr>
              <w:rPr>
                <w:highlight w:val="none"/>
              </w:rPr>
            </w:pPr>
          </w:p>
        </w:tc>
      </w:tr>
      <w:tr w14:paraId="592D0B3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4C3D43A4">
            <w:pPr>
              <w:rPr>
                <w:highlight w:val="none"/>
              </w:rPr>
            </w:pPr>
          </w:p>
        </w:tc>
        <w:tc>
          <w:tcPr>
            <w:tcW w:w="701" w:type="dxa"/>
            <w:vMerge w:val="continue"/>
            <w:tcBorders>
              <w:top w:val="nil"/>
              <w:left w:val="nil"/>
              <w:bottom w:val="single" w:color="000000" w:sz="4" w:space="0"/>
              <w:right w:val="single" w:color="000000" w:sz="4" w:space="0"/>
            </w:tcBorders>
          </w:tcPr>
          <w:p w14:paraId="720C1553">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573F8AEA">
            <w:pPr>
              <w:pStyle w:val="4"/>
              <w:jc w:val="left"/>
              <w:rPr>
                <w:highlight w:val="none"/>
              </w:rPr>
            </w:pPr>
            <w:r>
              <w:rPr>
                <w:rFonts w:ascii="仿宋_GB2312" w:hAnsi="仿宋_GB2312" w:eastAsia="仿宋_GB2312" w:cs="仿宋_GB2312"/>
                <w:color w:val="000000"/>
                <w:sz w:val="24"/>
                <w:highlight w:val="none"/>
              </w:rPr>
              <w:t>福船园宿舍楼主干道外围保洁</w:t>
            </w:r>
          </w:p>
        </w:tc>
        <w:tc>
          <w:tcPr>
            <w:tcW w:w="2430" w:type="dxa"/>
            <w:vMerge w:val="restart"/>
            <w:tcBorders>
              <w:top w:val="nil"/>
              <w:left w:val="nil"/>
              <w:bottom w:val="single" w:color="000000" w:sz="4" w:space="0"/>
              <w:right w:val="single" w:color="000000" w:sz="4" w:space="0"/>
            </w:tcBorders>
            <w:tcMar>
              <w:top w:w="0" w:type="dxa"/>
              <w:left w:w="105" w:type="dxa"/>
              <w:bottom w:w="0" w:type="dxa"/>
              <w:right w:w="105" w:type="dxa"/>
            </w:tcMar>
            <w:vAlign w:val="top"/>
          </w:tcPr>
          <w:p w14:paraId="73FB2444">
            <w:pPr>
              <w:pStyle w:val="4"/>
              <w:jc w:val="left"/>
              <w:rPr>
                <w:highlight w:val="none"/>
              </w:rPr>
            </w:pPr>
            <w:r>
              <w:rPr>
                <w:rFonts w:ascii="仿宋_GB2312" w:hAnsi="仿宋_GB2312" w:eastAsia="仿宋_GB2312" w:cs="仿宋_GB2312"/>
                <w:color w:val="000000"/>
                <w:sz w:val="24"/>
                <w:highlight w:val="none"/>
              </w:rPr>
              <w:t>每日2次外围道路清扫，保洁区域：大门口主干道路面，楼栋周边路面、天佑桥下路面、停舰坪路面、福船园地库路面的清扫，卫生标准：目视无明显垃圾、落叶、杂物及泥沙灰尘。</w:t>
            </w:r>
          </w:p>
        </w:tc>
        <w:tc>
          <w:tcPr>
            <w:tcW w:w="2380" w:type="dxa"/>
            <w:vMerge w:val="continue"/>
            <w:tcBorders>
              <w:top w:val="nil"/>
              <w:left w:val="nil"/>
              <w:bottom w:val="single" w:color="000000" w:sz="4" w:space="0"/>
              <w:right w:val="single" w:color="000000" w:sz="4" w:space="0"/>
            </w:tcBorders>
          </w:tcPr>
          <w:p w14:paraId="46ECC760">
            <w:pPr>
              <w:rPr>
                <w:highlight w:val="none"/>
              </w:rPr>
            </w:pPr>
          </w:p>
        </w:tc>
      </w:tr>
      <w:tr w14:paraId="1EF28CC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36963708">
            <w:pPr>
              <w:rPr>
                <w:highlight w:val="none"/>
              </w:rPr>
            </w:pPr>
          </w:p>
        </w:tc>
        <w:tc>
          <w:tcPr>
            <w:tcW w:w="701" w:type="dxa"/>
            <w:vMerge w:val="continue"/>
            <w:tcBorders>
              <w:top w:val="nil"/>
              <w:left w:val="nil"/>
              <w:bottom w:val="single" w:color="000000" w:sz="4" w:space="0"/>
              <w:right w:val="single" w:color="000000" w:sz="4" w:space="0"/>
            </w:tcBorders>
          </w:tcPr>
          <w:p w14:paraId="5904E13A">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5C15C310">
            <w:pPr>
              <w:pStyle w:val="4"/>
              <w:jc w:val="left"/>
              <w:rPr>
                <w:highlight w:val="none"/>
              </w:rPr>
            </w:pPr>
            <w:r>
              <w:rPr>
                <w:rFonts w:ascii="仿宋_GB2312" w:hAnsi="仿宋_GB2312" w:eastAsia="仿宋_GB2312" w:cs="仿宋_GB2312"/>
                <w:color w:val="000000"/>
                <w:sz w:val="24"/>
                <w:highlight w:val="none"/>
              </w:rPr>
              <w:t>福船园大门主干道外围保洁</w:t>
            </w:r>
          </w:p>
        </w:tc>
        <w:tc>
          <w:tcPr>
            <w:tcW w:w="2430" w:type="dxa"/>
            <w:vMerge w:val="continue"/>
            <w:tcBorders>
              <w:top w:val="nil"/>
              <w:left w:val="nil"/>
              <w:bottom w:val="single" w:color="000000" w:sz="4" w:space="0"/>
              <w:right w:val="single" w:color="000000" w:sz="4" w:space="0"/>
            </w:tcBorders>
          </w:tcPr>
          <w:p w14:paraId="5DB2E5C9">
            <w:pPr>
              <w:rPr>
                <w:highlight w:val="none"/>
              </w:rPr>
            </w:pPr>
          </w:p>
        </w:tc>
        <w:tc>
          <w:tcPr>
            <w:tcW w:w="2380" w:type="dxa"/>
            <w:vMerge w:val="continue"/>
            <w:tcBorders>
              <w:top w:val="nil"/>
              <w:left w:val="nil"/>
              <w:bottom w:val="single" w:color="000000" w:sz="4" w:space="0"/>
              <w:right w:val="single" w:color="000000" w:sz="4" w:space="0"/>
            </w:tcBorders>
          </w:tcPr>
          <w:p w14:paraId="4F01209A">
            <w:pPr>
              <w:rPr>
                <w:highlight w:val="none"/>
              </w:rPr>
            </w:pPr>
          </w:p>
        </w:tc>
      </w:tr>
      <w:tr w14:paraId="19E1BC1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4BC7C73C">
            <w:pPr>
              <w:rPr>
                <w:highlight w:val="none"/>
              </w:rPr>
            </w:pPr>
          </w:p>
        </w:tc>
        <w:tc>
          <w:tcPr>
            <w:tcW w:w="701" w:type="dxa"/>
            <w:vMerge w:val="continue"/>
            <w:tcBorders>
              <w:top w:val="nil"/>
              <w:left w:val="nil"/>
              <w:bottom w:val="single" w:color="000000" w:sz="4" w:space="0"/>
              <w:right w:val="single" w:color="000000" w:sz="4" w:space="0"/>
            </w:tcBorders>
          </w:tcPr>
          <w:p w14:paraId="051CC803">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256040F7">
            <w:pPr>
              <w:pStyle w:val="4"/>
              <w:jc w:val="left"/>
              <w:rPr>
                <w:highlight w:val="none"/>
              </w:rPr>
            </w:pPr>
            <w:r>
              <w:rPr>
                <w:rFonts w:ascii="仿宋_GB2312" w:hAnsi="仿宋_GB2312" w:eastAsia="仿宋_GB2312" w:cs="仿宋_GB2312"/>
                <w:color w:val="000000"/>
                <w:sz w:val="24"/>
                <w:highlight w:val="none"/>
              </w:rPr>
              <w:t>福船园校友楼、奥迪实训楼、36#综合实验楼保洁</w:t>
            </w:r>
          </w:p>
        </w:tc>
        <w:tc>
          <w:tcPr>
            <w:tcW w:w="2430" w:type="dxa"/>
            <w:vMerge w:val="restart"/>
            <w:tcBorders>
              <w:top w:val="nil"/>
              <w:left w:val="nil"/>
              <w:bottom w:val="single" w:color="000000" w:sz="4" w:space="0"/>
              <w:right w:val="single" w:color="000000" w:sz="4" w:space="0"/>
            </w:tcBorders>
            <w:tcMar>
              <w:top w:w="0" w:type="dxa"/>
              <w:left w:w="105" w:type="dxa"/>
              <w:bottom w:w="0" w:type="dxa"/>
              <w:right w:w="105" w:type="dxa"/>
            </w:tcMar>
            <w:vAlign w:val="top"/>
          </w:tcPr>
          <w:p w14:paraId="40A0B7D5">
            <w:pPr>
              <w:pStyle w:val="4"/>
              <w:jc w:val="left"/>
              <w:rPr>
                <w:highlight w:val="none"/>
              </w:rPr>
            </w:pPr>
            <w:r>
              <w:rPr>
                <w:rFonts w:ascii="仿宋_GB2312" w:hAnsi="仿宋_GB2312" w:eastAsia="仿宋_GB2312" w:cs="仿宋_GB2312"/>
                <w:color w:val="000000"/>
                <w:sz w:val="24"/>
                <w:highlight w:val="none"/>
              </w:rPr>
              <w:t>每日2次打扫，保洁内容：公共卫生间内部清洁冲洗、淋浴室内部清洁冲洗、公共走廊拖抹 、安全楼梯每日打扫、楼梯扶手毛巾清洁抹擦、每日垃圾清理、消防栓擦抹、每月1次清理蜘蛛网，</w:t>
            </w:r>
          </w:p>
        </w:tc>
        <w:tc>
          <w:tcPr>
            <w:tcW w:w="2380" w:type="dxa"/>
            <w:vMerge w:val="continue"/>
            <w:tcBorders>
              <w:top w:val="nil"/>
              <w:left w:val="nil"/>
              <w:bottom w:val="single" w:color="000000" w:sz="4" w:space="0"/>
              <w:right w:val="single" w:color="000000" w:sz="4" w:space="0"/>
            </w:tcBorders>
          </w:tcPr>
          <w:p w14:paraId="166FB07A">
            <w:pPr>
              <w:rPr>
                <w:highlight w:val="none"/>
              </w:rPr>
            </w:pPr>
          </w:p>
        </w:tc>
      </w:tr>
      <w:tr w14:paraId="015BD11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61A26A81">
            <w:pPr>
              <w:rPr>
                <w:highlight w:val="none"/>
              </w:rPr>
            </w:pPr>
          </w:p>
        </w:tc>
        <w:tc>
          <w:tcPr>
            <w:tcW w:w="701" w:type="dxa"/>
            <w:vMerge w:val="continue"/>
            <w:tcBorders>
              <w:top w:val="nil"/>
              <w:left w:val="nil"/>
              <w:bottom w:val="single" w:color="000000" w:sz="4" w:space="0"/>
              <w:right w:val="single" w:color="000000" w:sz="4" w:space="0"/>
            </w:tcBorders>
          </w:tcPr>
          <w:p w14:paraId="5B605E4F">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0D4BF941">
            <w:pPr>
              <w:pStyle w:val="4"/>
              <w:jc w:val="left"/>
              <w:rPr>
                <w:highlight w:val="none"/>
              </w:rPr>
            </w:pPr>
            <w:r>
              <w:rPr>
                <w:rFonts w:ascii="仿宋_GB2312" w:hAnsi="仿宋_GB2312" w:eastAsia="仿宋_GB2312" w:cs="仿宋_GB2312"/>
                <w:color w:val="000000"/>
                <w:sz w:val="24"/>
                <w:highlight w:val="none"/>
              </w:rPr>
              <w:t>福船园27#28#教工宿舍楼保洁+39#学生宿舍楼保洁</w:t>
            </w:r>
          </w:p>
        </w:tc>
        <w:tc>
          <w:tcPr>
            <w:tcW w:w="2430" w:type="dxa"/>
            <w:vMerge w:val="continue"/>
            <w:tcBorders>
              <w:top w:val="nil"/>
              <w:left w:val="nil"/>
              <w:bottom w:val="single" w:color="000000" w:sz="4" w:space="0"/>
              <w:right w:val="single" w:color="000000" w:sz="4" w:space="0"/>
            </w:tcBorders>
          </w:tcPr>
          <w:p w14:paraId="7B9206B0">
            <w:pPr>
              <w:rPr>
                <w:highlight w:val="none"/>
              </w:rPr>
            </w:pPr>
          </w:p>
        </w:tc>
        <w:tc>
          <w:tcPr>
            <w:tcW w:w="2380" w:type="dxa"/>
            <w:vMerge w:val="continue"/>
            <w:tcBorders>
              <w:top w:val="nil"/>
              <w:left w:val="nil"/>
              <w:bottom w:val="single" w:color="000000" w:sz="4" w:space="0"/>
              <w:right w:val="single" w:color="000000" w:sz="4" w:space="0"/>
            </w:tcBorders>
          </w:tcPr>
          <w:p w14:paraId="221E6034">
            <w:pPr>
              <w:rPr>
                <w:highlight w:val="none"/>
              </w:rPr>
            </w:pPr>
          </w:p>
        </w:tc>
      </w:tr>
      <w:tr w14:paraId="741041E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290BA536">
            <w:pPr>
              <w:rPr>
                <w:highlight w:val="none"/>
              </w:rPr>
            </w:pPr>
          </w:p>
        </w:tc>
        <w:tc>
          <w:tcPr>
            <w:tcW w:w="701" w:type="dxa"/>
            <w:vMerge w:val="continue"/>
            <w:tcBorders>
              <w:top w:val="nil"/>
              <w:left w:val="nil"/>
              <w:bottom w:val="single" w:color="000000" w:sz="4" w:space="0"/>
              <w:right w:val="single" w:color="000000" w:sz="4" w:space="0"/>
            </w:tcBorders>
          </w:tcPr>
          <w:p w14:paraId="35A0BC9E">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54E359E8">
            <w:pPr>
              <w:pStyle w:val="4"/>
              <w:jc w:val="left"/>
              <w:rPr>
                <w:highlight w:val="none"/>
              </w:rPr>
            </w:pPr>
            <w:r>
              <w:rPr>
                <w:rFonts w:ascii="仿宋_GB2312" w:hAnsi="仿宋_GB2312" w:eastAsia="仿宋_GB2312" w:cs="仿宋_GB2312"/>
                <w:color w:val="000000"/>
                <w:sz w:val="24"/>
                <w:highlight w:val="none"/>
              </w:rPr>
              <w:t>福船园求实楼教学综合楼保洁+37#学生宿舍楼保洁</w:t>
            </w:r>
          </w:p>
        </w:tc>
        <w:tc>
          <w:tcPr>
            <w:tcW w:w="2430" w:type="dxa"/>
            <w:vMerge w:val="continue"/>
            <w:tcBorders>
              <w:top w:val="nil"/>
              <w:left w:val="nil"/>
              <w:bottom w:val="single" w:color="000000" w:sz="4" w:space="0"/>
              <w:right w:val="single" w:color="000000" w:sz="4" w:space="0"/>
            </w:tcBorders>
          </w:tcPr>
          <w:p w14:paraId="2C9595BA">
            <w:pPr>
              <w:rPr>
                <w:highlight w:val="none"/>
              </w:rPr>
            </w:pPr>
          </w:p>
        </w:tc>
        <w:tc>
          <w:tcPr>
            <w:tcW w:w="2380" w:type="dxa"/>
            <w:vMerge w:val="continue"/>
            <w:tcBorders>
              <w:top w:val="nil"/>
              <w:left w:val="nil"/>
              <w:bottom w:val="single" w:color="000000" w:sz="4" w:space="0"/>
              <w:right w:val="single" w:color="000000" w:sz="4" w:space="0"/>
            </w:tcBorders>
          </w:tcPr>
          <w:p w14:paraId="1C367A10">
            <w:pPr>
              <w:rPr>
                <w:highlight w:val="none"/>
              </w:rPr>
            </w:pPr>
          </w:p>
        </w:tc>
      </w:tr>
      <w:tr w14:paraId="10B5343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0611B0BE">
            <w:pPr>
              <w:rPr>
                <w:highlight w:val="none"/>
              </w:rPr>
            </w:pPr>
          </w:p>
        </w:tc>
        <w:tc>
          <w:tcPr>
            <w:tcW w:w="701" w:type="dxa"/>
            <w:vMerge w:val="continue"/>
            <w:tcBorders>
              <w:top w:val="nil"/>
              <w:left w:val="nil"/>
              <w:bottom w:val="single" w:color="000000" w:sz="4" w:space="0"/>
              <w:right w:val="single" w:color="000000" w:sz="4" w:space="0"/>
            </w:tcBorders>
          </w:tcPr>
          <w:p w14:paraId="3320F3CD">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7EC3BEF5">
            <w:pPr>
              <w:pStyle w:val="4"/>
              <w:jc w:val="left"/>
              <w:rPr>
                <w:highlight w:val="none"/>
              </w:rPr>
            </w:pPr>
            <w:r>
              <w:rPr>
                <w:rFonts w:ascii="仿宋_GB2312" w:hAnsi="仿宋_GB2312" w:eastAsia="仿宋_GB2312" w:cs="仿宋_GB2312"/>
                <w:color w:val="000000"/>
                <w:sz w:val="24"/>
                <w:highlight w:val="none"/>
              </w:rPr>
              <w:t>福船园38#32#学生宿舍、教学综合楼保洁</w:t>
            </w:r>
          </w:p>
        </w:tc>
        <w:tc>
          <w:tcPr>
            <w:tcW w:w="2430" w:type="dxa"/>
            <w:vMerge w:val="continue"/>
            <w:tcBorders>
              <w:top w:val="nil"/>
              <w:left w:val="nil"/>
              <w:bottom w:val="single" w:color="000000" w:sz="4" w:space="0"/>
              <w:right w:val="single" w:color="000000" w:sz="4" w:space="0"/>
            </w:tcBorders>
          </w:tcPr>
          <w:p w14:paraId="494CF273">
            <w:pPr>
              <w:rPr>
                <w:highlight w:val="none"/>
              </w:rPr>
            </w:pPr>
          </w:p>
        </w:tc>
        <w:tc>
          <w:tcPr>
            <w:tcW w:w="2380" w:type="dxa"/>
            <w:vMerge w:val="continue"/>
            <w:tcBorders>
              <w:top w:val="nil"/>
              <w:left w:val="nil"/>
              <w:bottom w:val="single" w:color="000000" w:sz="4" w:space="0"/>
              <w:right w:val="single" w:color="000000" w:sz="4" w:space="0"/>
            </w:tcBorders>
          </w:tcPr>
          <w:p w14:paraId="7BB1F40B">
            <w:pPr>
              <w:rPr>
                <w:highlight w:val="none"/>
              </w:rPr>
            </w:pPr>
          </w:p>
        </w:tc>
      </w:tr>
      <w:tr w14:paraId="54CCED1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4B8FF209">
            <w:pPr>
              <w:rPr>
                <w:highlight w:val="none"/>
              </w:rPr>
            </w:pPr>
          </w:p>
        </w:tc>
        <w:tc>
          <w:tcPr>
            <w:tcW w:w="701" w:type="dxa"/>
            <w:vMerge w:val="continue"/>
            <w:tcBorders>
              <w:top w:val="nil"/>
              <w:left w:val="nil"/>
              <w:bottom w:val="single" w:color="000000" w:sz="4" w:space="0"/>
              <w:right w:val="single" w:color="000000" w:sz="4" w:space="0"/>
            </w:tcBorders>
          </w:tcPr>
          <w:p w14:paraId="7953B220">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79160995">
            <w:pPr>
              <w:pStyle w:val="4"/>
              <w:jc w:val="left"/>
              <w:rPr>
                <w:highlight w:val="none"/>
              </w:rPr>
            </w:pPr>
            <w:r>
              <w:rPr>
                <w:rFonts w:ascii="仿宋_GB2312" w:hAnsi="仿宋_GB2312" w:eastAsia="仿宋_GB2312" w:cs="仿宋_GB2312"/>
                <w:color w:val="000000"/>
                <w:sz w:val="24"/>
                <w:highlight w:val="none"/>
              </w:rPr>
              <w:t>福船园33#学生宿舍楼保洁</w:t>
            </w:r>
          </w:p>
        </w:tc>
        <w:tc>
          <w:tcPr>
            <w:tcW w:w="2430" w:type="dxa"/>
            <w:vMerge w:val="continue"/>
            <w:tcBorders>
              <w:top w:val="nil"/>
              <w:left w:val="nil"/>
              <w:bottom w:val="single" w:color="000000" w:sz="4" w:space="0"/>
              <w:right w:val="single" w:color="000000" w:sz="4" w:space="0"/>
            </w:tcBorders>
          </w:tcPr>
          <w:p w14:paraId="5663C688">
            <w:pPr>
              <w:rPr>
                <w:highlight w:val="none"/>
              </w:rPr>
            </w:pPr>
          </w:p>
        </w:tc>
        <w:tc>
          <w:tcPr>
            <w:tcW w:w="2380" w:type="dxa"/>
            <w:vMerge w:val="continue"/>
            <w:tcBorders>
              <w:top w:val="nil"/>
              <w:left w:val="nil"/>
              <w:bottom w:val="single" w:color="000000" w:sz="4" w:space="0"/>
              <w:right w:val="single" w:color="000000" w:sz="4" w:space="0"/>
            </w:tcBorders>
          </w:tcPr>
          <w:p w14:paraId="1ECEE063">
            <w:pPr>
              <w:rPr>
                <w:highlight w:val="none"/>
              </w:rPr>
            </w:pPr>
          </w:p>
        </w:tc>
      </w:tr>
      <w:tr w14:paraId="54FB1CA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5C1EDA63">
            <w:pPr>
              <w:rPr>
                <w:highlight w:val="none"/>
              </w:rPr>
            </w:pPr>
          </w:p>
        </w:tc>
        <w:tc>
          <w:tcPr>
            <w:tcW w:w="701" w:type="dxa"/>
            <w:vMerge w:val="continue"/>
            <w:tcBorders>
              <w:top w:val="nil"/>
              <w:left w:val="nil"/>
              <w:bottom w:val="single" w:color="000000" w:sz="4" w:space="0"/>
              <w:right w:val="single" w:color="000000" w:sz="4" w:space="0"/>
            </w:tcBorders>
          </w:tcPr>
          <w:p w14:paraId="0D0E46B1">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56642902">
            <w:pPr>
              <w:pStyle w:val="4"/>
              <w:jc w:val="left"/>
              <w:rPr>
                <w:highlight w:val="none"/>
              </w:rPr>
            </w:pPr>
            <w:r>
              <w:rPr>
                <w:rFonts w:ascii="仿宋_GB2312" w:hAnsi="仿宋_GB2312" w:eastAsia="仿宋_GB2312" w:cs="仿宋_GB2312"/>
                <w:color w:val="000000"/>
                <w:sz w:val="24"/>
                <w:highlight w:val="none"/>
              </w:rPr>
              <w:t>福船园34#学生宿舍楼保洁</w:t>
            </w:r>
          </w:p>
        </w:tc>
        <w:tc>
          <w:tcPr>
            <w:tcW w:w="2430" w:type="dxa"/>
            <w:vMerge w:val="continue"/>
            <w:tcBorders>
              <w:top w:val="nil"/>
              <w:left w:val="nil"/>
              <w:bottom w:val="single" w:color="000000" w:sz="4" w:space="0"/>
              <w:right w:val="single" w:color="000000" w:sz="4" w:space="0"/>
            </w:tcBorders>
          </w:tcPr>
          <w:p w14:paraId="22ED9FD7">
            <w:pPr>
              <w:rPr>
                <w:highlight w:val="none"/>
              </w:rPr>
            </w:pPr>
          </w:p>
        </w:tc>
        <w:tc>
          <w:tcPr>
            <w:tcW w:w="2380" w:type="dxa"/>
            <w:vMerge w:val="continue"/>
            <w:tcBorders>
              <w:top w:val="nil"/>
              <w:left w:val="nil"/>
              <w:bottom w:val="single" w:color="000000" w:sz="4" w:space="0"/>
              <w:right w:val="single" w:color="000000" w:sz="4" w:space="0"/>
            </w:tcBorders>
          </w:tcPr>
          <w:p w14:paraId="02C7E11C">
            <w:pPr>
              <w:rPr>
                <w:highlight w:val="none"/>
              </w:rPr>
            </w:pPr>
          </w:p>
        </w:tc>
      </w:tr>
      <w:tr w14:paraId="0988C97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3A57D7E3">
            <w:pPr>
              <w:rPr>
                <w:highlight w:val="none"/>
              </w:rPr>
            </w:pPr>
          </w:p>
        </w:tc>
        <w:tc>
          <w:tcPr>
            <w:tcW w:w="701" w:type="dxa"/>
            <w:vMerge w:val="continue"/>
            <w:tcBorders>
              <w:top w:val="nil"/>
              <w:left w:val="nil"/>
              <w:bottom w:val="single" w:color="000000" w:sz="4" w:space="0"/>
              <w:right w:val="single" w:color="000000" w:sz="4" w:space="0"/>
            </w:tcBorders>
          </w:tcPr>
          <w:p w14:paraId="6ECD43BB">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5CA51973">
            <w:pPr>
              <w:pStyle w:val="4"/>
              <w:jc w:val="left"/>
              <w:rPr>
                <w:highlight w:val="none"/>
              </w:rPr>
            </w:pPr>
            <w:r>
              <w:rPr>
                <w:rFonts w:ascii="仿宋_GB2312" w:hAnsi="仿宋_GB2312" w:eastAsia="仿宋_GB2312" w:cs="仿宋_GB2312"/>
                <w:color w:val="000000"/>
                <w:sz w:val="24"/>
                <w:highlight w:val="none"/>
              </w:rPr>
              <w:t>福船园40#学生宿舍楼保洁</w:t>
            </w:r>
          </w:p>
        </w:tc>
        <w:tc>
          <w:tcPr>
            <w:tcW w:w="2430" w:type="dxa"/>
            <w:vMerge w:val="continue"/>
            <w:tcBorders>
              <w:top w:val="nil"/>
              <w:left w:val="nil"/>
              <w:bottom w:val="single" w:color="000000" w:sz="4" w:space="0"/>
              <w:right w:val="single" w:color="000000" w:sz="4" w:space="0"/>
            </w:tcBorders>
          </w:tcPr>
          <w:p w14:paraId="3F16314B">
            <w:pPr>
              <w:rPr>
                <w:highlight w:val="none"/>
              </w:rPr>
            </w:pPr>
          </w:p>
        </w:tc>
        <w:tc>
          <w:tcPr>
            <w:tcW w:w="2380" w:type="dxa"/>
            <w:vMerge w:val="continue"/>
            <w:tcBorders>
              <w:top w:val="nil"/>
              <w:left w:val="nil"/>
              <w:bottom w:val="single" w:color="000000" w:sz="4" w:space="0"/>
              <w:right w:val="single" w:color="000000" w:sz="4" w:space="0"/>
            </w:tcBorders>
          </w:tcPr>
          <w:p w14:paraId="5AF6CF00">
            <w:pPr>
              <w:rPr>
                <w:highlight w:val="none"/>
              </w:rPr>
            </w:pPr>
          </w:p>
        </w:tc>
      </w:tr>
      <w:tr w14:paraId="18AAF7C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1791AF18">
            <w:pPr>
              <w:rPr>
                <w:highlight w:val="none"/>
              </w:rPr>
            </w:pPr>
          </w:p>
        </w:tc>
        <w:tc>
          <w:tcPr>
            <w:tcW w:w="701" w:type="dxa"/>
            <w:vMerge w:val="continue"/>
            <w:tcBorders>
              <w:top w:val="nil"/>
              <w:left w:val="nil"/>
              <w:bottom w:val="single" w:color="000000" w:sz="4" w:space="0"/>
              <w:right w:val="single" w:color="000000" w:sz="4" w:space="0"/>
            </w:tcBorders>
          </w:tcPr>
          <w:p w14:paraId="22686A38">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23594FD0">
            <w:pPr>
              <w:pStyle w:val="4"/>
              <w:jc w:val="left"/>
              <w:rPr>
                <w:highlight w:val="none"/>
              </w:rPr>
            </w:pPr>
            <w:r>
              <w:rPr>
                <w:rFonts w:ascii="仿宋_GB2312" w:hAnsi="仿宋_GB2312" w:eastAsia="仿宋_GB2312" w:cs="仿宋_GB2312"/>
                <w:color w:val="000000"/>
                <w:sz w:val="24"/>
                <w:highlight w:val="none"/>
              </w:rPr>
              <w:t>艺新楼南楼1层9层+北楼1层9层+9层2间会议室</w:t>
            </w:r>
          </w:p>
        </w:tc>
        <w:tc>
          <w:tcPr>
            <w:tcW w:w="2430" w:type="dxa"/>
            <w:vMerge w:val="restart"/>
            <w:tcBorders>
              <w:top w:val="nil"/>
              <w:left w:val="nil"/>
              <w:bottom w:val="single" w:color="000000" w:sz="4" w:space="0"/>
              <w:right w:val="single" w:color="000000" w:sz="4" w:space="0"/>
            </w:tcBorders>
            <w:tcMar>
              <w:top w:w="0" w:type="dxa"/>
              <w:left w:w="105" w:type="dxa"/>
              <w:bottom w:w="0" w:type="dxa"/>
              <w:right w:w="105" w:type="dxa"/>
            </w:tcMar>
            <w:vAlign w:val="top"/>
          </w:tcPr>
          <w:p w14:paraId="4FEC54EC">
            <w:pPr>
              <w:pStyle w:val="4"/>
              <w:jc w:val="left"/>
              <w:rPr>
                <w:highlight w:val="none"/>
              </w:rPr>
            </w:pPr>
            <w:r>
              <w:rPr>
                <w:rFonts w:ascii="仿宋_GB2312" w:hAnsi="仿宋_GB2312" w:eastAsia="仿宋_GB2312" w:cs="仿宋_GB2312"/>
                <w:color w:val="000000"/>
                <w:sz w:val="24"/>
                <w:highlight w:val="none"/>
              </w:rPr>
              <w:t>1、每日2次打扫，保洁内容：公共卫生间内部清洁冲洗，公共走廊拖抹 ，安全楼梯每日打扫，楼梯扶手毛巾清洁抹擦，每日垃圾清理，消防栓擦抹，公共区域展示台除尘。</w:t>
            </w:r>
            <w:r>
              <w:rPr>
                <w:highlight w:val="none"/>
              </w:rPr>
              <w:br w:type="textWrapping"/>
            </w:r>
            <w:r>
              <w:rPr>
                <w:rFonts w:ascii="仿宋_GB2312" w:hAnsi="仿宋_GB2312" w:eastAsia="仿宋_GB2312" w:cs="仿宋_GB2312"/>
                <w:color w:val="000000"/>
                <w:sz w:val="24"/>
                <w:highlight w:val="none"/>
              </w:rPr>
              <w:t>2、每月1次玻璃清洁，蜘蛛网清理。</w:t>
            </w:r>
            <w:r>
              <w:rPr>
                <w:highlight w:val="none"/>
              </w:rPr>
              <w:br w:type="textWrapping"/>
            </w:r>
            <w:r>
              <w:rPr>
                <w:rFonts w:ascii="仿宋_GB2312" w:hAnsi="仿宋_GB2312" w:eastAsia="仿宋_GB2312" w:cs="仿宋_GB2312"/>
                <w:color w:val="000000"/>
                <w:sz w:val="24"/>
                <w:highlight w:val="none"/>
              </w:rPr>
              <w:t>3、每周1次5号6号电梯使用保养油保养清洁</w:t>
            </w:r>
            <w:r>
              <w:rPr>
                <w:highlight w:val="none"/>
              </w:rPr>
              <w:br w:type="textWrapping"/>
            </w:r>
            <w:r>
              <w:rPr>
                <w:rFonts w:ascii="仿宋_GB2312" w:hAnsi="仿宋_GB2312" w:eastAsia="仿宋_GB2312" w:cs="仿宋_GB2312"/>
                <w:color w:val="000000"/>
                <w:sz w:val="24"/>
                <w:highlight w:val="none"/>
              </w:rPr>
              <w:t>4、3层3个报告厅、1个贵宾室，茶水室会前会后桌椅擦抹，地面拖抹，垃圾清理，茶具清洗，垃圾清理。</w:t>
            </w:r>
          </w:p>
        </w:tc>
        <w:tc>
          <w:tcPr>
            <w:tcW w:w="2380" w:type="dxa"/>
            <w:vMerge w:val="continue"/>
            <w:tcBorders>
              <w:top w:val="nil"/>
              <w:left w:val="nil"/>
              <w:bottom w:val="single" w:color="000000" w:sz="4" w:space="0"/>
              <w:right w:val="single" w:color="000000" w:sz="4" w:space="0"/>
            </w:tcBorders>
          </w:tcPr>
          <w:p w14:paraId="69493016">
            <w:pPr>
              <w:rPr>
                <w:highlight w:val="none"/>
              </w:rPr>
            </w:pPr>
          </w:p>
        </w:tc>
      </w:tr>
      <w:tr w14:paraId="06B9741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0A38AC56">
            <w:pPr>
              <w:rPr>
                <w:highlight w:val="none"/>
              </w:rPr>
            </w:pPr>
          </w:p>
        </w:tc>
        <w:tc>
          <w:tcPr>
            <w:tcW w:w="701" w:type="dxa"/>
            <w:vMerge w:val="continue"/>
            <w:tcBorders>
              <w:top w:val="nil"/>
              <w:left w:val="nil"/>
              <w:bottom w:val="single" w:color="000000" w:sz="4" w:space="0"/>
              <w:right w:val="single" w:color="000000" w:sz="4" w:space="0"/>
            </w:tcBorders>
          </w:tcPr>
          <w:p w14:paraId="0036A6C2">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2B096C6D">
            <w:pPr>
              <w:pStyle w:val="4"/>
              <w:jc w:val="left"/>
              <w:rPr>
                <w:highlight w:val="none"/>
              </w:rPr>
            </w:pPr>
            <w:r>
              <w:rPr>
                <w:rFonts w:ascii="仿宋_GB2312" w:hAnsi="仿宋_GB2312" w:eastAsia="仿宋_GB2312" w:cs="仿宋_GB2312"/>
                <w:color w:val="000000"/>
                <w:sz w:val="24"/>
                <w:highlight w:val="none"/>
              </w:rPr>
              <w:t>艺新楼南楼2层6层+北楼2层6层</w:t>
            </w:r>
          </w:p>
        </w:tc>
        <w:tc>
          <w:tcPr>
            <w:tcW w:w="2430" w:type="dxa"/>
            <w:vMerge w:val="continue"/>
            <w:tcBorders>
              <w:top w:val="nil"/>
              <w:left w:val="nil"/>
              <w:bottom w:val="single" w:color="000000" w:sz="4" w:space="0"/>
              <w:right w:val="single" w:color="000000" w:sz="4" w:space="0"/>
            </w:tcBorders>
          </w:tcPr>
          <w:p w14:paraId="39AAE8CD">
            <w:pPr>
              <w:rPr>
                <w:highlight w:val="none"/>
              </w:rPr>
            </w:pPr>
          </w:p>
        </w:tc>
        <w:tc>
          <w:tcPr>
            <w:tcW w:w="2380" w:type="dxa"/>
            <w:vMerge w:val="continue"/>
            <w:tcBorders>
              <w:top w:val="nil"/>
              <w:left w:val="nil"/>
              <w:bottom w:val="single" w:color="000000" w:sz="4" w:space="0"/>
              <w:right w:val="single" w:color="000000" w:sz="4" w:space="0"/>
            </w:tcBorders>
          </w:tcPr>
          <w:p w14:paraId="509BE248">
            <w:pPr>
              <w:rPr>
                <w:highlight w:val="none"/>
              </w:rPr>
            </w:pPr>
          </w:p>
        </w:tc>
      </w:tr>
      <w:tr w14:paraId="05D660C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201896A4">
            <w:pPr>
              <w:rPr>
                <w:highlight w:val="none"/>
              </w:rPr>
            </w:pPr>
          </w:p>
        </w:tc>
        <w:tc>
          <w:tcPr>
            <w:tcW w:w="701" w:type="dxa"/>
            <w:vMerge w:val="continue"/>
            <w:tcBorders>
              <w:top w:val="nil"/>
              <w:left w:val="nil"/>
              <w:bottom w:val="single" w:color="000000" w:sz="4" w:space="0"/>
              <w:right w:val="single" w:color="000000" w:sz="4" w:space="0"/>
            </w:tcBorders>
          </w:tcPr>
          <w:p w14:paraId="1A80D6BD">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49005CF1">
            <w:pPr>
              <w:pStyle w:val="4"/>
              <w:jc w:val="left"/>
              <w:rPr>
                <w:highlight w:val="none"/>
              </w:rPr>
            </w:pPr>
            <w:r>
              <w:rPr>
                <w:rFonts w:ascii="仿宋_GB2312" w:hAnsi="仿宋_GB2312" w:eastAsia="仿宋_GB2312" w:cs="仿宋_GB2312"/>
                <w:color w:val="000000"/>
                <w:sz w:val="24"/>
                <w:highlight w:val="none"/>
              </w:rPr>
              <w:t>艺新楼南楼3层+北楼3层保洁+3层会议室与贵宾厅保洁</w:t>
            </w:r>
          </w:p>
        </w:tc>
        <w:tc>
          <w:tcPr>
            <w:tcW w:w="2430" w:type="dxa"/>
            <w:vMerge w:val="continue"/>
            <w:tcBorders>
              <w:top w:val="nil"/>
              <w:left w:val="nil"/>
              <w:bottom w:val="single" w:color="000000" w:sz="4" w:space="0"/>
              <w:right w:val="single" w:color="000000" w:sz="4" w:space="0"/>
            </w:tcBorders>
          </w:tcPr>
          <w:p w14:paraId="7C93BF78">
            <w:pPr>
              <w:rPr>
                <w:highlight w:val="none"/>
              </w:rPr>
            </w:pPr>
          </w:p>
        </w:tc>
        <w:tc>
          <w:tcPr>
            <w:tcW w:w="2380" w:type="dxa"/>
            <w:vMerge w:val="continue"/>
            <w:tcBorders>
              <w:top w:val="nil"/>
              <w:left w:val="nil"/>
              <w:bottom w:val="single" w:color="000000" w:sz="4" w:space="0"/>
              <w:right w:val="single" w:color="000000" w:sz="4" w:space="0"/>
            </w:tcBorders>
          </w:tcPr>
          <w:p w14:paraId="18C5E0AC">
            <w:pPr>
              <w:rPr>
                <w:highlight w:val="none"/>
              </w:rPr>
            </w:pPr>
          </w:p>
        </w:tc>
      </w:tr>
      <w:tr w14:paraId="4496619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70DDEBEE">
            <w:pPr>
              <w:rPr>
                <w:highlight w:val="none"/>
              </w:rPr>
            </w:pPr>
          </w:p>
        </w:tc>
        <w:tc>
          <w:tcPr>
            <w:tcW w:w="701" w:type="dxa"/>
            <w:vMerge w:val="continue"/>
            <w:tcBorders>
              <w:top w:val="nil"/>
              <w:left w:val="nil"/>
              <w:bottom w:val="single" w:color="000000" w:sz="4" w:space="0"/>
              <w:right w:val="single" w:color="000000" w:sz="4" w:space="0"/>
            </w:tcBorders>
          </w:tcPr>
          <w:p w14:paraId="34D73380">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013B3DD2">
            <w:pPr>
              <w:pStyle w:val="4"/>
              <w:jc w:val="left"/>
              <w:rPr>
                <w:highlight w:val="none"/>
              </w:rPr>
            </w:pPr>
            <w:r>
              <w:rPr>
                <w:rFonts w:ascii="仿宋_GB2312" w:hAnsi="仿宋_GB2312" w:eastAsia="仿宋_GB2312" w:cs="仿宋_GB2312"/>
                <w:color w:val="000000"/>
                <w:sz w:val="24"/>
                <w:highlight w:val="none"/>
              </w:rPr>
              <w:t>艺新楼南楼4层5层+北楼4层5层</w:t>
            </w:r>
          </w:p>
        </w:tc>
        <w:tc>
          <w:tcPr>
            <w:tcW w:w="2430" w:type="dxa"/>
            <w:vMerge w:val="continue"/>
            <w:tcBorders>
              <w:top w:val="nil"/>
              <w:left w:val="nil"/>
              <w:bottom w:val="single" w:color="000000" w:sz="4" w:space="0"/>
              <w:right w:val="single" w:color="000000" w:sz="4" w:space="0"/>
            </w:tcBorders>
          </w:tcPr>
          <w:p w14:paraId="2EBCD602">
            <w:pPr>
              <w:rPr>
                <w:highlight w:val="none"/>
              </w:rPr>
            </w:pPr>
          </w:p>
        </w:tc>
        <w:tc>
          <w:tcPr>
            <w:tcW w:w="2380" w:type="dxa"/>
            <w:vMerge w:val="continue"/>
            <w:tcBorders>
              <w:top w:val="nil"/>
              <w:left w:val="nil"/>
              <w:bottom w:val="single" w:color="000000" w:sz="4" w:space="0"/>
              <w:right w:val="single" w:color="000000" w:sz="4" w:space="0"/>
            </w:tcBorders>
          </w:tcPr>
          <w:p w14:paraId="76C46198">
            <w:pPr>
              <w:rPr>
                <w:highlight w:val="none"/>
              </w:rPr>
            </w:pPr>
          </w:p>
        </w:tc>
      </w:tr>
      <w:tr w14:paraId="6A935C1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25B1D7B9">
            <w:pPr>
              <w:rPr>
                <w:highlight w:val="none"/>
              </w:rPr>
            </w:pPr>
          </w:p>
        </w:tc>
        <w:tc>
          <w:tcPr>
            <w:tcW w:w="701" w:type="dxa"/>
            <w:vMerge w:val="continue"/>
            <w:tcBorders>
              <w:top w:val="nil"/>
              <w:left w:val="nil"/>
              <w:bottom w:val="single" w:color="000000" w:sz="4" w:space="0"/>
              <w:right w:val="single" w:color="000000" w:sz="4" w:space="0"/>
            </w:tcBorders>
          </w:tcPr>
          <w:p w14:paraId="452F11F6">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2C3AFB8F">
            <w:pPr>
              <w:pStyle w:val="4"/>
              <w:jc w:val="left"/>
              <w:rPr>
                <w:highlight w:val="none"/>
              </w:rPr>
            </w:pPr>
            <w:r>
              <w:rPr>
                <w:rFonts w:ascii="仿宋_GB2312" w:hAnsi="仿宋_GB2312" w:eastAsia="仿宋_GB2312" w:cs="仿宋_GB2312"/>
                <w:color w:val="000000"/>
                <w:sz w:val="24"/>
                <w:highlight w:val="none"/>
              </w:rPr>
              <w:t>艺新楼南楼7层8层+北楼7层8层</w:t>
            </w:r>
          </w:p>
        </w:tc>
        <w:tc>
          <w:tcPr>
            <w:tcW w:w="2430" w:type="dxa"/>
            <w:vMerge w:val="continue"/>
            <w:tcBorders>
              <w:top w:val="nil"/>
              <w:left w:val="nil"/>
              <w:bottom w:val="single" w:color="000000" w:sz="4" w:space="0"/>
              <w:right w:val="single" w:color="000000" w:sz="4" w:space="0"/>
            </w:tcBorders>
          </w:tcPr>
          <w:p w14:paraId="57947549">
            <w:pPr>
              <w:rPr>
                <w:highlight w:val="none"/>
              </w:rPr>
            </w:pPr>
          </w:p>
        </w:tc>
        <w:tc>
          <w:tcPr>
            <w:tcW w:w="2380" w:type="dxa"/>
            <w:vMerge w:val="continue"/>
            <w:tcBorders>
              <w:top w:val="nil"/>
              <w:left w:val="nil"/>
              <w:bottom w:val="single" w:color="000000" w:sz="4" w:space="0"/>
              <w:right w:val="single" w:color="000000" w:sz="4" w:space="0"/>
            </w:tcBorders>
          </w:tcPr>
          <w:p w14:paraId="27D62D41">
            <w:pPr>
              <w:rPr>
                <w:highlight w:val="none"/>
              </w:rPr>
            </w:pPr>
          </w:p>
        </w:tc>
      </w:tr>
      <w:tr w14:paraId="46A3005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6C33DCBD">
            <w:pPr>
              <w:rPr>
                <w:highlight w:val="none"/>
              </w:rPr>
            </w:pPr>
          </w:p>
        </w:tc>
        <w:tc>
          <w:tcPr>
            <w:tcW w:w="701" w:type="dxa"/>
            <w:vMerge w:val="continue"/>
            <w:tcBorders>
              <w:top w:val="nil"/>
              <w:left w:val="nil"/>
              <w:bottom w:val="single" w:color="000000" w:sz="4" w:space="0"/>
              <w:right w:val="single" w:color="000000" w:sz="4" w:space="0"/>
            </w:tcBorders>
          </w:tcPr>
          <w:p w14:paraId="3EBD3FCB">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132D1A9B">
            <w:pPr>
              <w:pStyle w:val="4"/>
              <w:jc w:val="left"/>
              <w:rPr>
                <w:highlight w:val="none"/>
              </w:rPr>
            </w:pPr>
            <w:r>
              <w:rPr>
                <w:rFonts w:ascii="仿宋_GB2312" w:hAnsi="仿宋_GB2312" w:eastAsia="仿宋_GB2312" w:cs="仿宋_GB2312"/>
                <w:color w:val="000000"/>
                <w:sz w:val="24"/>
                <w:highlight w:val="none"/>
              </w:rPr>
              <w:t>艺新楼南楼10层11层+北楼10层11层</w:t>
            </w:r>
          </w:p>
        </w:tc>
        <w:tc>
          <w:tcPr>
            <w:tcW w:w="2430" w:type="dxa"/>
            <w:vMerge w:val="continue"/>
            <w:tcBorders>
              <w:top w:val="nil"/>
              <w:left w:val="nil"/>
              <w:bottom w:val="single" w:color="000000" w:sz="4" w:space="0"/>
              <w:right w:val="single" w:color="000000" w:sz="4" w:space="0"/>
            </w:tcBorders>
          </w:tcPr>
          <w:p w14:paraId="5A5D7588">
            <w:pPr>
              <w:rPr>
                <w:highlight w:val="none"/>
              </w:rPr>
            </w:pPr>
          </w:p>
        </w:tc>
        <w:tc>
          <w:tcPr>
            <w:tcW w:w="2380" w:type="dxa"/>
            <w:vMerge w:val="continue"/>
            <w:tcBorders>
              <w:top w:val="nil"/>
              <w:left w:val="nil"/>
              <w:bottom w:val="single" w:color="000000" w:sz="4" w:space="0"/>
              <w:right w:val="single" w:color="000000" w:sz="4" w:space="0"/>
            </w:tcBorders>
          </w:tcPr>
          <w:p w14:paraId="72B7129B">
            <w:pPr>
              <w:rPr>
                <w:highlight w:val="none"/>
              </w:rPr>
            </w:pPr>
          </w:p>
        </w:tc>
      </w:tr>
      <w:tr w14:paraId="5A649A3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1E9C7236">
            <w:pPr>
              <w:rPr>
                <w:highlight w:val="none"/>
              </w:rPr>
            </w:pPr>
          </w:p>
        </w:tc>
        <w:tc>
          <w:tcPr>
            <w:tcW w:w="701" w:type="dxa"/>
            <w:vMerge w:val="continue"/>
            <w:tcBorders>
              <w:top w:val="nil"/>
              <w:left w:val="nil"/>
              <w:bottom w:val="single" w:color="000000" w:sz="4" w:space="0"/>
              <w:right w:val="single" w:color="000000" w:sz="4" w:space="0"/>
            </w:tcBorders>
          </w:tcPr>
          <w:p w14:paraId="059AF3A6">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61B1E6A7">
            <w:pPr>
              <w:pStyle w:val="4"/>
              <w:jc w:val="left"/>
              <w:rPr>
                <w:highlight w:val="none"/>
              </w:rPr>
            </w:pPr>
            <w:r>
              <w:rPr>
                <w:rFonts w:ascii="仿宋_GB2312" w:hAnsi="仿宋_GB2312" w:eastAsia="仿宋_GB2312" w:cs="仿宋_GB2312"/>
                <w:color w:val="000000"/>
                <w:sz w:val="24"/>
                <w:highlight w:val="none"/>
              </w:rPr>
              <w:t>艺新楼南楼12层13层+北楼12层13层</w:t>
            </w:r>
          </w:p>
        </w:tc>
        <w:tc>
          <w:tcPr>
            <w:tcW w:w="2430" w:type="dxa"/>
            <w:vMerge w:val="continue"/>
            <w:tcBorders>
              <w:top w:val="nil"/>
              <w:left w:val="nil"/>
              <w:bottom w:val="single" w:color="000000" w:sz="4" w:space="0"/>
              <w:right w:val="single" w:color="000000" w:sz="4" w:space="0"/>
            </w:tcBorders>
          </w:tcPr>
          <w:p w14:paraId="3FAA5257">
            <w:pPr>
              <w:rPr>
                <w:highlight w:val="none"/>
              </w:rPr>
            </w:pPr>
          </w:p>
        </w:tc>
        <w:tc>
          <w:tcPr>
            <w:tcW w:w="2380" w:type="dxa"/>
            <w:vMerge w:val="continue"/>
            <w:tcBorders>
              <w:top w:val="nil"/>
              <w:left w:val="nil"/>
              <w:bottom w:val="single" w:color="000000" w:sz="4" w:space="0"/>
              <w:right w:val="single" w:color="000000" w:sz="4" w:space="0"/>
            </w:tcBorders>
          </w:tcPr>
          <w:p w14:paraId="4E49B7BC">
            <w:pPr>
              <w:rPr>
                <w:highlight w:val="none"/>
              </w:rPr>
            </w:pPr>
          </w:p>
        </w:tc>
      </w:tr>
      <w:tr w14:paraId="2A0A57F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1C7667BF">
            <w:pPr>
              <w:rPr>
                <w:highlight w:val="none"/>
              </w:rPr>
            </w:pPr>
          </w:p>
        </w:tc>
        <w:tc>
          <w:tcPr>
            <w:tcW w:w="701" w:type="dxa"/>
            <w:vMerge w:val="continue"/>
            <w:tcBorders>
              <w:top w:val="nil"/>
              <w:left w:val="nil"/>
              <w:bottom w:val="single" w:color="000000" w:sz="4" w:space="0"/>
              <w:right w:val="single" w:color="000000" w:sz="4" w:space="0"/>
            </w:tcBorders>
          </w:tcPr>
          <w:p w14:paraId="779E3DF6">
            <w:pPr>
              <w:rPr>
                <w:highlight w:val="none"/>
              </w:rPr>
            </w:pPr>
          </w:p>
        </w:tc>
        <w:tc>
          <w:tcPr>
            <w:tcW w:w="1778" w:type="dxa"/>
            <w:tcBorders>
              <w:top w:val="nil"/>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05ABF63B">
            <w:pPr>
              <w:pStyle w:val="4"/>
              <w:jc w:val="left"/>
              <w:rPr>
                <w:highlight w:val="none"/>
              </w:rPr>
            </w:pPr>
            <w:r>
              <w:rPr>
                <w:rFonts w:ascii="仿宋_GB2312" w:hAnsi="仿宋_GB2312" w:eastAsia="仿宋_GB2312" w:cs="仿宋_GB2312"/>
                <w:color w:val="000000"/>
                <w:sz w:val="24"/>
                <w:highlight w:val="none"/>
              </w:rPr>
              <w:t>福船园垃圾屋分类员</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664DD00B">
            <w:pPr>
              <w:pStyle w:val="4"/>
              <w:jc w:val="left"/>
              <w:rPr>
                <w:highlight w:val="none"/>
              </w:rPr>
            </w:pPr>
            <w:r>
              <w:rPr>
                <w:rFonts w:ascii="仿宋_GB2312" w:hAnsi="仿宋_GB2312" w:eastAsia="仿宋_GB2312" w:cs="仿宋_GB2312"/>
                <w:color w:val="000000"/>
                <w:sz w:val="24"/>
                <w:highlight w:val="none"/>
              </w:rPr>
              <w:t>每日早上6点-晚上21点垃圾屋分类打包清运。每日垃圾分类站门口，站内地面拖抹，消杀，垃圾桶每周清洗1次。</w:t>
            </w:r>
          </w:p>
        </w:tc>
        <w:tc>
          <w:tcPr>
            <w:tcW w:w="2380" w:type="dxa"/>
            <w:vMerge w:val="continue"/>
            <w:tcBorders>
              <w:top w:val="nil"/>
              <w:left w:val="nil"/>
              <w:bottom w:val="single" w:color="000000" w:sz="4" w:space="0"/>
              <w:right w:val="single" w:color="000000" w:sz="4" w:space="0"/>
            </w:tcBorders>
          </w:tcPr>
          <w:p w14:paraId="6F70D679">
            <w:pPr>
              <w:rPr>
                <w:highlight w:val="none"/>
              </w:rPr>
            </w:pPr>
          </w:p>
        </w:tc>
      </w:tr>
      <w:tr w14:paraId="1537B75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restar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B60B54D">
            <w:pPr>
              <w:pStyle w:val="4"/>
              <w:jc w:val="left"/>
              <w:rPr>
                <w:highlight w:val="none"/>
              </w:rPr>
            </w:pPr>
            <w:r>
              <w:rPr>
                <w:rFonts w:ascii="仿宋_GB2312" w:hAnsi="仿宋_GB2312" w:eastAsia="仿宋_GB2312" w:cs="仿宋_GB2312"/>
                <w:color w:val="000000"/>
                <w:sz w:val="24"/>
                <w:highlight w:val="none"/>
              </w:rPr>
              <w:t>绿化</w:t>
            </w:r>
          </w:p>
        </w:tc>
        <w:tc>
          <w:tcPr>
            <w:tcW w:w="701" w:type="dxa"/>
            <w:vMerge w:val="restart"/>
            <w:tcBorders>
              <w:top w:val="nil"/>
              <w:left w:val="nil"/>
              <w:bottom w:val="single" w:color="000000" w:sz="4" w:space="0"/>
              <w:right w:val="single" w:color="000000" w:sz="4" w:space="0"/>
            </w:tcBorders>
            <w:tcMar>
              <w:top w:w="0" w:type="dxa"/>
              <w:left w:w="105" w:type="dxa"/>
              <w:bottom w:w="0" w:type="dxa"/>
              <w:right w:w="105" w:type="dxa"/>
            </w:tcMar>
            <w:vAlign w:val="top"/>
          </w:tcPr>
          <w:p w14:paraId="4F19D5E8">
            <w:pPr>
              <w:pStyle w:val="4"/>
              <w:jc w:val="center"/>
              <w:rPr>
                <w:highlight w:val="none"/>
              </w:rPr>
            </w:pPr>
            <w:r>
              <w:rPr>
                <w:rFonts w:ascii="仿宋_GB2312" w:hAnsi="仿宋_GB2312" w:eastAsia="仿宋_GB2312" w:cs="仿宋_GB2312"/>
                <w:color w:val="000000"/>
                <w:sz w:val="24"/>
                <w:highlight w:val="none"/>
              </w:rPr>
              <w:t>7</w:t>
            </w:r>
          </w:p>
        </w:tc>
        <w:tc>
          <w:tcPr>
            <w:tcW w:w="1778" w:type="dxa"/>
            <w:tcBorders>
              <w:top w:val="nil"/>
              <w:left w:val="nil"/>
              <w:bottom w:val="single" w:color="000000" w:sz="4" w:space="0"/>
              <w:right w:val="single" w:color="000000" w:sz="4" w:space="0"/>
            </w:tcBorders>
            <w:tcMar>
              <w:top w:w="0" w:type="dxa"/>
              <w:left w:w="105" w:type="dxa"/>
              <w:bottom w:w="0" w:type="dxa"/>
              <w:right w:w="105" w:type="dxa"/>
            </w:tcMar>
            <w:vAlign w:val="top"/>
          </w:tcPr>
          <w:p w14:paraId="1DB1148C">
            <w:pPr>
              <w:pStyle w:val="4"/>
              <w:jc w:val="left"/>
              <w:rPr>
                <w:highlight w:val="none"/>
              </w:rPr>
            </w:pPr>
            <w:r>
              <w:rPr>
                <w:rFonts w:ascii="仿宋_GB2312" w:hAnsi="仿宋_GB2312" w:eastAsia="仿宋_GB2312" w:cs="仿宋_GB2312"/>
                <w:color w:val="000000"/>
                <w:sz w:val="24"/>
                <w:highlight w:val="none"/>
              </w:rPr>
              <w:t>绿化主管</w:t>
            </w:r>
          </w:p>
        </w:tc>
        <w:tc>
          <w:tcPr>
            <w:tcW w:w="2430" w:type="dxa"/>
            <w:tcBorders>
              <w:top w:val="nil"/>
              <w:left w:val="nil"/>
              <w:bottom w:val="nil"/>
              <w:right w:val="nil"/>
            </w:tcBorders>
            <w:tcMar>
              <w:top w:w="0" w:type="dxa"/>
              <w:left w:w="105" w:type="dxa"/>
              <w:bottom w:w="0" w:type="dxa"/>
              <w:right w:w="105" w:type="dxa"/>
            </w:tcMar>
            <w:vAlign w:val="top"/>
          </w:tcPr>
          <w:p w14:paraId="4AF089D5">
            <w:pPr>
              <w:pStyle w:val="4"/>
              <w:jc w:val="left"/>
              <w:rPr>
                <w:highlight w:val="none"/>
              </w:rPr>
            </w:pPr>
            <w:r>
              <w:rPr>
                <w:rFonts w:ascii="仿宋_GB2312" w:hAnsi="仿宋_GB2312" w:eastAsia="仿宋_GB2312" w:cs="仿宋_GB2312"/>
                <w:color w:val="000000"/>
                <w:sz w:val="24"/>
                <w:highlight w:val="none"/>
              </w:rPr>
              <w:t>统筹安排校园绿化养护工作。</w:t>
            </w:r>
          </w:p>
        </w:tc>
        <w:tc>
          <w:tcPr>
            <w:tcW w:w="2380"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6A204C9F">
            <w:pPr>
              <w:pStyle w:val="4"/>
              <w:jc w:val="left"/>
              <w:rPr>
                <w:highlight w:val="none"/>
              </w:rPr>
            </w:pPr>
            <w:r>
              <w:rPr>
                <w:rFonts w:ascii="仿宋_GB2312" w:hAnsi="仿宋_GB2312" w:eastAsia="仿宋_GB2312" w:cs="仿宋_GB2312"/>
                <w:color w:val="000000"/>
                <w:sz w:val="24"/>
                <w:highlight w:val="none"/>
              </w:rPr>
              <w:t>年龄不满55周岁，应具有中级及以上园艺师或园林绿化相关专业职称，具有三年及以上的市政或园林绿化管理经验。身体健康。无刑事违法犯罪记录。</w:t>
            </w:r>
          </w:p>
        </w:tc>
      </w:tr>
      <w:tr w14:paraId="7C33C2D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58CA9B19">
            <w:pPr>
              <w:rPr>
                <w:highlight w:val="none"/>
              </w:rPr>
            </w:pPr>
          </w:p>
        </w:tc>
        <w:tc>
          <w:tcPr>
            <w:tcW w:w="701" w:type="dxa"/>
            <w:vMerge w:val="continue"/>
            <w:tcBorders>
              <w:top w:val="nil"/>
              <w:left w:val="nil"/>
              <w:bottom w:val="single" w:color="000000" w:sz="4" w:space="0"/>
              <w:right w:val="single" w:color="000000" w:sz="4" w:space="0"/>
            </w:tcBorders>
          </w:tcPr>
          <w:p w14:paraId="0343F04A">
            <w:pPr>
              <w:rPr>
                <w:highlight w:val="none"/>
              </w:rPr>
            </w:pPr>
          </w:p>
        </w:tc>
        <w:tc>
          <w:tcPr>
            <w:tcW w:w="1778" w:type="dxa"/>
            <w:tcBorders>
              <w:top w:val="nil"/>
              <w:left w:val="nil"/>
              <w:bottom w:val="single" w:color="000000" w:sz="4" w:space="0"/>
              <w:right w:val="single" w:color="000000" w:sz="4" w:space="0"/>
            </w:tcBorders>
            <w:tcMar>
              <w:top w:w="0" w:type="dxa"/>
              <w:left w:w="105" w:type="dxa"/>
              <w:bottom w:w="0" w:type="dxa"/>
              <w:right w:w="105" w:type="dxa"/>
            </w:tcMar>
            <w:vAlign w:val="top"/>
          </w:tcPr>
          <w:p w14:paraId="550E6098">
            <w:pPr>
              <w:pStyle w:val="4"/>
              <w:jc w:val="left"/>
              <w:rPr>
                <w:highlight w:val="none"/>
              </w:rPr>
            </w:pPr>
            <w:r>
              <w:rPr>
                <w:rFonts w:ascii="仿宋_GB2312" w:hAnsi="仿宋_GB2312" w:eastAsia="仿宋_GB2312" w:cs="仿宋_GB2312"/>
                <w:color w:val="000000"/>
                <w:sz w:val="24"/>
                <w:highlight w:val="none"/>
              </w:rPr>
              <w:t>绿化工人</w:t>
            </w:r>
          </w:p>
        </w:tc>
        <w:tc>
          <w:tcPr>
            <w:tcW w:w="2430" w:type="dxa"/>
            <w:vMerge w:val="restart"/>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6FEF94DC">
            <w:pPr>
              <w:pStyle w:val="4"/>
              <w:jc w:val="center"/>
              <w:rPr>
                <w:highlight w:val="none"/>
              </w:rPr>
            </w:pPr>
            <w:r>
              <w:rPr>
                <w:rFonts w:ascii="仿宋_GB2312" w:hAnsi="仿宋_GB2312" w:eastAsia="仿宋_GB2312" w:cs="仿宋_GB2312"/>
                <w:color w:val="000000"/>
                <w:sz w:val="24"/>
                <w:highlight w:val="none"/>
              </w:rPr>
              <w:t>1、全校区绿化养护施肥、定期清扫草地中的落叶、枯枝。</w:t>
            </w:r>
            <w:r>
              <w:rPr>
                <w:highlight w:val="none"/>
              </w:rPr>
              <w:br w:type="textWrapping"/>
            </w:r>
            <w:r>
              <w:rPr>
                <w:rFonts w:ascii="仿宋_GB2312" w:hAnsi="仿宋_GB2312" w:eastAsia="仿宋_GB2312" w:cs="仿宋_GB2312"/>
                <w:color w:val="000000"/>
                <w:sz w:val="24"/>
                <w:highlight w:val="none"/>
              </w:rPr>
              <w:t>2、绿化修剪、除草、浇水、施肥、灭虫害等，</w:t>
            </w:r>
            <w:r>
              <w:rPr>
                <w:highlight w:val="none"/>
              </w:rPr>
              <w:br w:type="textWrapping"/>
            </w:r>
            <w:r>
              <w:rPr>
                <w:rFonts w:ascii="仿宋_GB2312" w:hAnsi="仿宋_GB2312" w:eastAsia="仿宋_GB2312" w:cs="仿宋_GB2312"/>
                <w:color w:val="000000"/>
                <w:sz w:val="24"/>
                <w:highlight w:val="none"/>
              </w:rPr>
              <w:t>3、树木加固、高空高枝修剪 、枯树处理。</w:t>
            </w:r>
          </w:p>
        </w:tc>
        <w:tc>
          <w:tcPr>
            <w:tcW w:w="2380" w:type="dxa"/>
            <w:vMerge w:val="restart"/>
            <w:tcBorders>
              <w:top w:val="nil"/>
              <w:left w:val="nil"/>
              <w:bottom w:val="single" w:color="000000" w:sz="4" w:space="0"/>
              <w:right w:val="single" w:color="000000" w:sz="4" w:space="0"/>
            </w:tcBorders>
            <w:tcMar>
              <w:top w:w="0" w:type="dxa"/>
              <w:left w:w="105" w:type="dxa"/>
              <w:bottom w:w="0" w:type="dxa"/>
              <w:right w:w="105" w:type="dxa"/>
            </w:tcMar>
            <w:vAlign w:val="top"/>
          </w:tcPr>
          <w:p w14:paraId="423274EC">
            <w:pPr>
              <w:pStyle w:val="4"/>
              <w:jc w:val="left"/>
              <w:rPr>
                <w:highlight w:val="none"/>
              </w:rPr>
            </w:pPr>
            <w:r>
              <w:rPr>
                <w:rFonts w:ascii="仿宋_GB2312" w:hAnsi="仿宋_GB2312" w:eastAsia="仿宋_GB2312" w:cs="仿宋_GB2312"/>
                <w:color w:val="000000"/>
                <w:sz w:val="24"/>
                <w:highlight w:val="none"/>
              </w:rPr>
              <w:t>男性年龄不满60周岁，，女性年龄不满55周岁。必须具有二年及以上的绿化养护工作经验。身体健康，每年必须办理健康证。</w:t>
            </w:r>
          </w:p>
        </w:tc>
      </w:tr>
      <w:tr w14:paraId="20A13BC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0699C846">
            <w:pPr>
              <w:rPr>
                <w:highlight w:val="none"/>
              </w:rPr>
            </w:pPr>
          </w:p>
        </w:tc>
        <w:tc>
          <w:tcPr>
            <w:tcW w:w="701" w:type="dxa"/>
            <w:vMerge w:val="continue"/>
            <w:tcBorders>
              <w:top w:val="nil"/>
              <w:left w:val="nil"/>
              <w:bottom w:val="single" w:color="000000" w:sz="4" w:space="0"/>
              <w:right w:val="single" w:color="000000" w:sz="4" w:space="0"/>
            </w:tcBorders>
          </w:tcPr>
          <w:p w14:paraId="29F73FB5">
            <w:pPr>
              <w:rPr>
                <w:highlight w:val="none"/>
              </w:rPr>
            </w:pPr>
          </w:p>
        </w:tc>
        <w:tc>
          <w:tcPr>
            <w:tcW w:w="1778" w:type="dxa"/>
            <w:tcBorders>
              <w:top w:val="nil"/>
              <w:left w:val="nil"/>
              <w:bottom w:val="single" w:color="000000" w:sz="4" w:space="0"/>
              <w:right w:val="single" w:color="000000" w:sz="4" w:space="0"/>
            </w:tcBorders>
            <w:tcMar>
              <w:top w:w="0" w:type="dxa"/>
              <w:left w:w="105" w:type="dxa"/>
              <w:bottom w:w="0" w:type="dxa"/>
              <w:right w:w="105" w:type="dxa"/>
            </w:tcMar>
            <w:vAlign w:val="top"/>
          </w:tcPr>
          <w:p w14:paraId="13D5CCC9">
            <w:pPr>
              <w:pStyle w:val="4"/>
              <w:jc w:val="left"/>
              <w:rPr>
                <w:highlight w:val="none"/>
              </w:rPr>
            </w:pPr>
            <w:r>
              <w:rPr>
                <w:rFonts w:ascii="仿宋_GB2312" w:hAnsi="仿宋_GB2312" w:eastAsia="仿宋_GB2312" w:cs="仿宋_GB2312"/>
                <w:color w:val="000000"/>
                <w:sz w:val="24"/>
                <w:highlight w:val="none"/>
              </w:rPr>
              <w:t>绿化工人</w:t>
            </w:r>
          </w:p>
        </w:tc>
        <w:tc>
          <w:tcPr>
            <w:tcW w:w="2430" w:type="dxa"/>
            <w:vMerge w:val="continue"/>
            <w:tcBorders>
              <w:top w:val="single" w:color="000000" w:sz="4" w:space="0"/>
              <w:left w:val="nil"/>
              <w:bottom w:val="single" w:color="000000" w:sz="4" w:space="0"/>
              <w:right w:val="single" w:color="000000" w:sz="4" w:space="0"/>
            </w:tcBorders>
          </w:tcPr>
          <w:p w14:paraId="60A89717">
            <w:pPr>
              <w:rPr>
                <w:highlight w:val="none"/>
              </w:rPr>
            </w:pPr>
          </w:p>
        </w:tc>
        <w:tc>
          <w:tcPr>
            <w:tcW w:w="2380" w:type="dxa"/>
            <w:vMerge w:val="continue"/>
            <w:tcBorders>
              <w:top w:val="nil"/>
              <w:left w:val="nil"/>
              <w:bottom w:val="single" w:color="000000" w:sz="4" w:space="0"/>
              <w:right w:val="single" w:color="000000" w:sz="4" w:space="0"/>
            </w:tcBorders>
          </w:tcPr>
          <w:p w14:paraId="140B4A6D">
            <w:pPr>
              <w:rPr>
                <w:highlight w:val="none"/>
              </w:rPr>
            </w:pPr>
          </w:p>
        </w:tc>
      </w:tr>
      <w:tr w14:paraId="47C50D9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58BC4EFB">
            <w:pPr>
              <w:rPr>
                <w:highlight w:val="none"/>
              </w:rPr>
            </w:pPr>
          </w:p>
        </w:tc>
        <w:tc>
          <w:tcPr>
            <w:tcW w:w="701" w:type="dxa"/>
            <w:vMerge w:val="continue"/>
            <w:tcBorders>
              <w:top w:val="nil"/>
              <w:left w:val="nil"/>
              <w:bottom w:val="single" w:color="000000" w:sz="4" w:space="0"/>
              <w:right w:val="single" w:color="000000" w:sz="4" w:space="0"/>
            </w:tcBorders>
          </w:tcPr>
          <w:p w14:paraId="4DA6151D">
            <w:pPr>
              <w:rPr>
                <w:highlight w:val="none"/>
              </w:rPr>
            </w:pPr>
          </w:p>
        </w:tc>
        <w:tc>
          <w:tcPr>
            <w:tcW w:w="1778" w:type="dxa"/>
            <w:tcBorders>
              <w:top w:val="nil"/>
              <w:left w:val="nil"/>
              <w:bottom w:val="single" w:color="000000" w:sz="4" w:space="0"/>
              <w:right w:val="single" w:color="000000" w:sz="4" w:space="0"/>
            </w:tcBorders>
            <w:tcMar>
              <w:top w:w="0" w:type="dxa"/>
              <w:left w:w="105" w:type="dxa"/>
              <w:bottom w:w="0" w:type="dxa"/>
              <w:right w:w="105" w:type="dxa"/>
            </w:tcMar>
            <w:vAlign w:val="top"/>
          </w:tcPr>
          <w:p w14:paraId="210F1D53">
            <w:pPr>
              <w:pStyle w:val="4"/>
              <w:jc w:val="left"/>
              <w:rPr>
                <w:highlight w:val="none"/>
              </w:rPr>
            </w:pPr>
            <w:r>
              <w:rPr>
                <w:rFonts w:ascii="仿宋_GB2312" w:hAnsi="仿宋_GB2312" w:eastAsia="仿宋_GB2312" w:cs="仿宋_GB2312"/>
                <w:color w:val="000000"/>
                <w:sz w:val="24"/>
                <w:highlight w:val="none"/>
              </w:rPr>
              <w:t>绿化工人</w:t>
            </w:r>
          </w:p>
        </w:tc>
        <w:tc>
          <w:tcPr>
            <w:tcW w:w="2430" w:type="dxa"/>
            <w:vMerge w:val="continue"/>
            <w:tcBorders>
              <w:top w:val="single" w:color="000000" w:sz="4" w:space="0"/>
              <w:left w:val="nil"/>
              <w:bottom w:val="single" w:color="000000" w:sz="4" w:space="0"/>
              <w:right w:val="single" w:color="000000" w:sz="4" w:space="0"/>
            </w:tcBorders>
          </w:tcPr>
          <w:p w14:paraId="21102796">
            <w:pPr>
              <w:rPr>
                <w:highlight w:val="none"/>
              </w:rPr>
            </w:pPr>
          </w:p>
        </w:tc>
        <w:tc>
          <w:tcPr>
            <w:tcW w:w="2380" w:type="dxa"/>
            <w:vMerge w:val="continue"/>
            <w:tcBorders>
              <w:top w:val="nil"/>
              <w:left w:val="nil"/>
              <w:bottom w:val="single" w:color="000000" w:sz="4" w:space="0"/>
              <w:right w:val="single" w:color="000000" w:sz="4" w:space="0"/>
            </w:tcBorders>
          </w:tcPr>
          <w:p w14:paraId="002EF3BB">
            <w:pPr>
              <w:rPr>
                <w:highlight w:val="none"/>
              </w:rPr>
            </w:pPr>
          </w:p>
        </w:tc>
      </w:tr>
      <w:tr w14:paraId="69A3528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71D4F6D2">
            <w:pPr>
              <w:rPr>
                <w:highlight w:val="none"/>
              </w:rPr>
            </w:pPr>
          </w:p>
        </w:tc>
        <w:tc>
          <w:tcPr>
            <w:tcW w:w="701" w:type="dxa"/>
            <w:vMerge w:val="continue"/>
            <w:tcBorders>
              <w:top w:val="nil"/>
              <w:left w:val="nil"/>
              <w:bottom w:val="single" w:color="000000" w:sz="4" w:space="0"/>
              <w:right w:val="single" w:color="000000" w:sz="4" w:space="0"/>
            </w:tcBorders>
          </w:tcPr>
          <w:p w14:paraId="7B041F9D">
            <w:pPr>
              <w:rPr>
                <w:highlight w:val="none"/>
              </w:rPr>
            </w:pPr>
          </w:p>
        </w:tc>
        <w:tc>
          <w:tcPr>
            <w:tcW w:w="1778" w:type="dxa"/>
            <w:tcBorders>
              <w:top w:val="nil"/>
              <w:left w:val="nil"/>
              <w:bottom w:val="single" w:color="000000" w:sz="4" w:space="0"/>
              <w:right w:val="single" w:color="000000" w:sz="4" w:space="0"/>
            </w:tcBorders>
            <w:tcMar>
              <w:top w:w="0" w:type="dxa"/>
              <w:left w:w="105" w:type="dxa"/>
              <w:bottom w:w="0" w:type="dxa"/>
              <w:right w:w="105" w:type="dxa"/>
            </w:tcMar>
            <w:vAlign w:val="top"/>
          </w:tcPr>
          <w:p w14:paraId="35228ABB">
            <w:pPr>
              <w:pStyle w:val="4"/>
              <w:jc w:val="left"/>
              <w:rPr>
                <w:highlight w:val="none"/>
              </w:rPr>
            </w:pPr>
            <w:r>
              <w:rPr>
                <w:rFonts w:ascii="仿宋_GB2312" w:hAnsi="仿宋_GB2312" w:eastAsia="仿宋_GB2312" w:cs="仿宋_GB2312"/>
                <w:color w:val="000000"/>
                <w:sz w:val="24"/>
                <w:highlight w:val="none"/>
              </w:rPr>
              <w:t>绿化工人</w:t>
            </w:r>
          </w:p>
        </w:tc>
        <w:tc>
          <w:tcPr>
            <w:tcW w:w="2430" w:type="dxa"/>
            <w:vMerge w:val="continue"/>
            <w:tcBorders>
              <w:top w:val="single" w:color="000000" w:sz="4" w:space="0"/>
              <w:left w:val="nil"/>
              <w:bottom w:val="single" w:color="000000" w:sz="4" w:space="0"/>
              <w:right w:val="single" w:color="000000" w:sz="4" w:space="0"/>
            </w:tcBorders>
          </w:tcPr>
          <w:p w14:paraId="4C1A03CB">
            <w:pPr>
              <w:rPr>
                <w:highlight w:val="none"/>
              </w:rPr>
            </w:pPr>
          </w:p>
        </w:tc>
        <w:tc>
          <w:tcPr>
            <w:tcW w:w="2380" w:type="dxa"/>
            <w:vMerge w:val="continue"/>
            <w:tcBorders>
              <w:top w:val="nil"/>
              <w:left w:val="nil"/>
              <w:bottom w:val="single" w:color="000000" w:sz="4" w:space="0"/>
              <w:right w:val="single" w:color="000000" w:sz="4" w:space="0"/>
            </w:tcBorders>
          </w:tcPr>
          <w:p w14:paraId="41DB5E03">
            <w:pPr>
              <w:rPr>
                <w:highlight w:val="none"/>
              </w:rPr>
            </w:pPr>
          </w:p>
        </w:tc>
      </w:tr>
      <w:tr w14:paraId="4B87E4D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3BECBE64">
            <w:pPr>
              <w:rPr>
                <w:highlight w:val="none"/>
              </w:rPr>
            </w:pPr>
          </w:p>
        </w:tc>
        <w:tc>
          <w:tcPr>
            <w:tcW w:w="701" w:type="dxa"/>
            <w:vMerge w:val="continue"/>
            <w:tcBorders>
              <w:top w:val="nil"/>
              <w:left w:val="nil"/>
              <w:bottom w:val="single" w:color="000000" w:sz="4" w:space="0"/>
              <w:right w:val="single" w:color="000000" w:sz="4" w:space="0"/>
            </w:tcBorders>
          </w:tcPr>
          <w:p w14:paraId="26931328">
            <w:pPr>
              <w:rPr>
                <w:highlight w:val="none"/>
              </w:rPr>
            </w:pPr>
          </w:p>
        </w:tc>
        <w:tc>
          <w:tcPr>
            <w:tcW w:w="1778" w:type="dxa"/>
            <w:tcBorders>
              <w:top w:val="nil"/>
              <w:left w:val="nil"/>
              <w:bottom w:val="single" w:color="000000" w:sz="4" w:space="0"/>
              <w:right w:val="single" w:color="000000" w:sz="4" w:space="0"/>
            </w:tcBorders>
            <w:tcMar>
              <w:top w:w="0" w:type="dxa"/>
              <w:left w:w="105" w:type="dxa"/>
              <w:bottom w:w="0" w:type="dxa"/>
              <w:right w:w="105" w:type="dxa"/>
            </w:tcMar>
            <w:vAlign w:val="top"/>
          </w:tcPr>
          <w:p w14:paraId="0CF6D216">
            <w:pPr>
              <w:pStyle w:val="4"/>
              <w:jc w:val="left"/>
              <w:rPr>
                <w:highlight w:val="none"/>
              </w:rPr>
            </w:pPr>
            <w:r>
              <w:rPr>
                <w:rFonts w:ascii="仿宋_GB2312" w:hAnsi="仿宋_GB2312" w:eastAsia="仿宋_GB2312" w:cs="仿宋_GB2312"/>
                <w:color w:val="000000"/>
                <w:sz w:val="24"/>
                <w:highlight w:val="none"/>
              </w:rPr>
              <w:t>绿化工人</w:t>
            </w:r>
          </w:p>
        </w:tc>
        <w:tc>
          <w:tcPr>
            <w:tcW w:w="2430" w:type="dxa"/>
            <w:vMerge w:val="continue"/>
            <w:tcBorders>
              <w:top w:val="single" w:color="000000" w:sz="4" w:space="0"/>
              <w:left w:val="nil"/>
              <w:bottom w:val="single" w:color="000000" w:sz="4" w:space="0"/>
              <w:right w:val="single" w:color="000000" w:sz="4" w:space="0"/>
            </w:tcBorders>
          </w:tcPr>
          <w:p w14:paraId="30B0DADF">
            <w:pPr>
              <w:rPr>
                <w:highlight w:val="none"/>
              </w:rPr>
            </w:pPr>
          </w:p>
        </w:tc>
        <w:tc>
          <w:tcPr>
            <w:tcW w:w="2380" w:type="dxa"/>
            <w:vMerge w:val="continue"/>
            <w:tcBorders>
              <w:top w:val="nil"/>
              <w:left w:val="nil"/>
              <w:bottom w:val="single" w:color="000000" w:sz="4" w:space="0"/>
              <w:right w:val="single" w:color="000000" w:sz="4" w:space="0"/>
            </w:tcBorders>
          </w:tcPr>
          <w:p w14:paraId="49FDBEF5">
            <w:pPr>
              <w:rPr>
                <w:highlight w:val="none"/>
              </w:rPr>
            </w:pPr>
          </w:p>
        </w:tc>
      </w:tr>
      <w:tr w14:paraId="2E7DD5C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vMerge w:val="continue"/>
            <w:tcBorders>
              <w:top w:val="nil"/>
              <w:left w:val="single" w:color="000000" w:sz="4" w:space="0"/>
              <w:bottom w:val="single" w:color="000000" w:sz="4" w:space="0"/>
              <w:right w:val="single" w:color="000000" w:sz="4" w:space="0"/>
            </w:tcBorders>
          </w:tcPr>
          <w:p w14:paraId="1D832013">
            <w:pPr>
              <w:rPr>
                <w:highlight w:val="none"/>
              </w:rPr>
            </w:pPr>
          </w:p>
        </w:tc>
        <w:tc>
          <w:tcPr>
            <w:tcW w:w="701" w:type="dxa"/>
            <w:vMerge w:val="continue"/>
            <w:tcBorders>
              <w:top w:val="nil"/>
              <w:left w:val="nil"/>
              <w:bottom w:val="single" w:color="000000" w:sz="4" w:space="0"/>
              <w:right w:val="single" w:color="000000" w:sz="4" w:space="0"/>
            </w:tcBorders>
          </w:tcPr>
          <w:p w14:paraId="4D70EEA8">
            <w:pPr>
              <w:rPr>
                <w:highlight w:val="none"/>
              </w:rPr>
            </w:pPr>
          </w:p>
        </w:tc>
        <w:tc>
          <w:tcPr>
            <w:tcW w:w="1778" w:type="dxa"/>
            <w:tcBorders>
              <w:top w:val="nil"/>
              <w:left w:val="nil"/>
              <w:bottom w:val="single" w:color="000000" w:sz="4" w:space="0"/>
              <w:right w:val="single" w:color="000000" w:sz="4" w:space="0"/>
            </w:tcBorders>
            <w:tcMar>
              <w:top w:w="0" w:type="dxa"/>
              <w:left w:w="105" w:type="dxa"/>
              <w:bottom w:w="0" w:type="dxa"/>
              <w:right w:w="105" w:type="dxa"/>
            </w:tcMar>
            <w:vAlign w:val="top"/>
          </w:tcPr>
          <w:p w14:paraId="6DFE9AF0">
            <w:pPr>
              <w:pStyle w:val="4"/>
              <w:jc w:val="left"/>
              <w:rPr>
                <w:highlight w:val="none"/>
              </w:rPr>
            </w:pPr>
            <w:r>
              <w:rPr>
                <w:rFonts w:ascii="仿宋_GB2312" w:hAnsi="仿宋_GB2312" w:eastAsia="仿宋_GB2312" w:cs="仿宋_GB2312"/>
                <w:color w:val="000000"/>
                <w:sz w:val="24"/>
                <w:highlight w:val="none"/>
              </w:rPr>
              <w:t>绿化工人</w:t>
            </w:r>
          </w:p>
        </w:tc>
        <w:tc>
          <w:tcPr>
            <w:tcW w:w="2430" w:type="dxa"/>
            <w:vMerge w:val="continue"/>
            <w:tcBorders>
              <w:top w:val="single" w:color="000000" w:sz="4" w:space="0"/>
              <w:left w:val="nil"/>
              <w:bottom w:val="single" w:color="000000" w:sz="4" w:space="0"/>
              <w:right w:val="single" w:color="000000" w:sz="4" w:space="0"/>
            </w:tcBorders>
          </w:tcPr>
          <w:p w14:paraId="659FE35A">
            <w:pPr>
              <w:rPr>
                <w:highlight w:val="none"/>
              </w:rPr>
            </w:pPr>
          </w:p>
        </w:tc>
        <w:tc>
          <w:tcPr>
            <w:tcW w:w="2380" w:type="dxa"/>
            <w:vMerge w:val="continue"/>
            <w:tcBorders>
              <w:top w:val="nil"/>
              <w:left w:val="nil"/>
              <w:bottom w:val="single" w:color="000000" w:sz="4" w:space="0"/>
              <w:right w:val="single" w:color="000000" w:sz="4" w:space="0"/>
            </w:tcBorders>
          </w:tcPr>
          <w:p w14:paraId="745C0165">
            <w:pPr>
              <w:rPr>
                <w:highlight w:val="none"/>
              </w:rPr>
            </w:pPr>
          </w:p>
        </w:tc>
      </w:tr>
      <w:tr w14:paraId="75B8B10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9"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D96B39E">
            <w:pPr>
              <w:pStyle w:val="4"/>
              <w:jc w:val="left"/>
              <w:rPr>
                <w:highlight w:val="none"/>
              </w:rPr>
            </w:pPr>
            <w:r>
              <w:rPr>
                <w:rFonts w:ascii="仿宋_GB2312" w:hAnsi="仿宋_GB2312" w:eastAsia="仿宋_GB2312" w:cs="仿宋_GB2312"/>
                <w:color w:val="000000"/>
                <w:sz w:val="24"/>
                <w:highlight w:val="none"/>
              </w:rPr>
              <w:t>合计</w:t>
            </w:r>
          </w:p>
        </w:tc>
        <w:tc>
          <w:tcPr>
            <w:tcW w:w="701" w:type="dxa"/>
            <w:tcBorders>
              <w:top w:val="nil"/>
              <w:left w:val="nil"/>
              <w:bottom w:val="single" w:color="000000" w:sz="4" w:space="0"/>
              <w:right w:val="single" w:color="000000" w:sz="4" w:space="0"/>
            </w:tcBorders>
            <w:tcMar>
              <w:top w:w="0" w:type="dxa"/>
              <w:left w:w="105" w:type="dxa"/>
              <w:bottom w:w="0" w:type="dxa"/>
              <w:right w:w="105" w:type="dxa"/>
            </w:tcMar>
            <w:vAlign w:val="top"/>
          </w:tcPr>
          <w:p w14:paraId="4B8C62A2">
            <w:pPr>
              <w:pStyle w:val="4"/>
              <w:jc w:val="center"/>
              <w:rPr>
                <w:highlight w:val="none"/>
              </w:rPr>
            </w:pPr>
            <w:r>
              <w:rPr>
                <w:rFonts w:ascii="仿宋_GB2312" w:hAnsi="仿宋_GB2312" w:eastAsia="仿宋_GB2312" w:cs="仿宋_GB2312"/>
                <w:color w:val="000000"/>
                <w:sz w:val="24"/>
                <w:highlight w:val="none"/>
              </w:rPr>
              <w:t>134</w:t>
            </w:r>
          </w:p>
        </w:tc>
        <w:tc>
          <w:tcPr>
            <w:tcW w:w="1778" w:type="dxa"/>
            <w:tcBorders>
              <w:top w:val="nil"/>
              <w:left w:val="nil"/>
              <w:bottom w:val="single" w:color="000000" w:sz="4" w:space="0"/>
              <w:right w:val="single" w:color="000000" w:sz="4" w:space="0"/>
            </w:tcBorders>
            <w:tcMar>
              <w:top w:w="0" w:type="dxa"/>
              <w:left w:w="105" w:type="dxa"/>
              <w:bottom w:w="0" w:type="dxa"/>
              <w:right w:w="105" w:type="dxa"/>
            </w:tcMar>
            <w:vAlign w:val="top"/>
          </w:tcPr>
          <w:p w14:paraId="2360D4DA">
            <w:pPr>
              <w:pStyle w:val="4"/>
              <w:jc w:val="left"/>
              <w:rPr>
                <w:highlight w:val="none"/>
              </w:rPr>
            </w:pP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07C5C996">
            <w:pPr>
              <w:rPr>
                <w:highlight w:val="none"/>
              </w:rPr>
            </w:pPr>
          </w:p>
        </w:tc>
        <w:tc>
          <w:tcPr>
            <w:tcW w:w="2380" w:type="dxa"/>
            <w:tcBorders>
              <w:top w:val="nil"/>
              <w:left w:val="nil"/>
              <w:bottom w:val="single" w:color="000000" w:sz="4" w:space="0"/>
              <w:right w:val="single" w:color="000000" w:sz="4" w:space="0"/>
            </w:tcBorders>
            <w:tcMar>
              <w:top w:w="0" w:type="dxa"/>
              <w:left w:w="105" w:type="dxa"/>
              <w:bottom w:w="0" w:type="dxa"/>
              <w:right w:w="105" w:type="dxa"/>
            </w:tcMar>
            <w:vAlign w:val="top"/>
          </w:tcPr>
          <w:p w14:paraId="1800B51B">
            <w:pPr>
              <w:rPr>
                <w:highlight w:val="none"/>
              </w:rPr>
            </w:pPr>
          </w:p>
        </w:tc>
      </w:tr>
    </w:tbl>
    <w:p w14:paraId="1800F63F">
      <w:pPr>
        <w:pStyle w:val="4"/>
        <w:jc w:val="left"/>
        <w:rPr>
          <w:highlight w:val="none"/>
        </w:rPr>
      </w:pPr>
      <w:r>
        <w:rPr>
          <w:rFonts w:ascii="仿宋_GB2312" w:hAnsi="仿宋_GB2312" w:eastAsia="仿宋_GB2312" w:cs="仿宋_GB2312"/>
          <w:color w:val="000000"/>
          <w:sz w:val="24"/>
          <w:highlight w:val="none"/>
          <w:shd w:val="clear" w:fill="FFFFFF"/>
        </w:rPr>
        <w:t>2.岗位配置人数不得低于上表人员数量，采购人可根据学院发展需要增加相应岗位人数。投标人须提供书面承诺，否则视为无效投标。</w:t>
      </w:r>
    </w:p>
    <w:p w14:paraId="21860B66">
      <w:pPr>
        <w:pStyle w:val="4"/>
        <w:spacing w:before="90" w:after="90"/>
        <w:ind w:right="-285" w:firstLine="480"/>
        <w:jc w:val="left"/>
        <w:rPr>
          <w:highlight w:val="none"/>
        </w:rPr>
      </w:pPr>
      <w:r>
        <w:rPr>
          <w:rFonts w:ascii="仿宋_GB2312" w:hAnsi="仿宋_GB2312" w:eastAsia="仿宋_GB2312" w:cs="仿宋_GB2312"/>
          <w:color w:val="000000"/>
          <w:sz w:val="24"/>
          <w:highlight w:val="none"/>
          <w:shd w:val="clear" w:fill="FFFFFF"/>
        </w:rPr>
        <w:t>3.为保持学校工作的延续性及平稳性，投标人承诺中标后，应无条件接受采购人原有物业团队人员，并纳入日常管理，定人定岗定责，未经采购人同意不能将人员调离采购人单位的服务区域，并承担前期人员用工责任，人员名单以学院后勤处确认名单为准。投标人须提供书面承诺，否则视为无效投标。</w:t>
      </w:r>
    </w:p>
    <w:p w14:paraId="3EEC94FE">
      <w:pPr>
        <w:pStyle w:val="4"/>
        <w:spacing w:before="90" w:after="90"/>
        <w:ind w:right="-285" w:firstLine="480"/>
        <w:jc w:val="left"/>
        <w:rPr>
          <w:highlight w:val="none"/>
        </w:rPr>
      </w:pPr>
      <w:r>
        <w:rPr>
          <w:rFonts w:ascii="仿宋_GB2312" w:hAnsi="仿宋_GB2312" w:eastAsia="仿宋_GB2312" w:cs="仿宋_GB2312"/>
          <w:color w:val="000000"/>
          <w:sz w:val="24"/>
          <w:highlight w:val="none"/>
          <w:shd w:val="clear" w:fill="FFFFFF"/>
        </w:rPr>
        <w:t>4.投标人负责处理采购人原有物业团队人员从入职采购人单位工作起至上述人员与本项目投标人签订劳动合同期间的劳动纠纷、劳动争议等事宜，并承担因上述纠纷产生的所有费用。</w:t>
      </w:r>
    </w:p>
    <w:p w14:paraId="1ED3D05F">
      <w:pPr>
        <w:pStyle w:val="4"/>
        <w:ind w:firstLine="480"/>
        <w:jc w:val="both"/>
        <w:rPr>
          <w:highlight w:val="none"/>
        </w:rPr>
      </w:pPr>
      <w:r>
        <w:rPr>
          <w:rFonts w:ascii="仿宋_GB2312" w:hAnsi="仿宋_GB2312" w:eastAsia="仿宋_GB2312" w:cs="仿宋_GB2312"/>
          <w:color w:val="000000"/>
          <w:sz w:val="24"/>
          <w:highlight w:val="none"/>
          <w:shd w:val="clear" w:fill="FFFFFF"/>
        </w:rPr>
        <w:t>5.物业公司所有配备人员，男性年龄不满60周岁，女性年龄不满55周岁，无犯罪记录、身体健康，服务意识强。</w:t>
      </w:r>
      <w:r>
        <w:rPr>
          <w:rFonts w:ascii="仿宋_GB2312" w:hAnsi="仿宋_GB2312" w:eastAsia="仿宋_GB2312" w:cs="仿宋_GB2312"/>
          <w:color w:val="000000"/>
          <w:sz w:val="24"/>
          <w:highlight w:val="none"/>
        </w:rPr>
        <w:t>各类服务人员按时上下班，不离岗、串岗，值班人员在岗在位。服务人员素质、服务态度好，对师生反映问题的处理及时高效。</w:t>
      </w:r>
      <w:r>
        <w:rPr>
          <w:rFonts w:ascii="仿宋_GB2312" w:hAnsi="仿宋_GB2312" w:eastAsia="仿宋_GB2312" w:cs="仿宋_GB2312"/>
          <w:color w:val="000000"/>
          <w:sz w:val="24"/>
          <w:highlight w:val="none"/>
          <w:shd w:val="clear" w:fill="FFFFFF"/>
        </w:rPr>
        <w:t>物业管理服务人员应具有良好的仪态，仪表及职业素养。项目经理、各项目主管、艺新楼楼管等重要岗位人员必须经学院审核同意后方可上岗。采取有效措施确保选派到本项目的人员队伍的稳定性，管理人员不得随意变更，如确实出现特殊情况，须提前一个月通知后勤管理处，且经后勤管理处的同意后方可更换；若更换后不符要求，我院有权要求物业管理公司再次更换。</w:t>
      </w:r>
    </w:p>
    <w:p w14:paraId="0A3551A6">
      <w:pPr>
        <w:pStyle w:val="4"/>
        <w:ind w:firstLine="480"/>
        <w:jc w:val="both"/>
        <w:rPr>
          <w:highlight w:val="none"/>
        </w:rPr>
      </w:pPr>
      <w:r>
        <w:rPr>
          <w:rFonts w:ascii="仿宋_GB2312" w:hAnsi="仿宋_GB2312" w:eastAsia="仿宋_GB2312" w:cs="仿宋_GB2312"/>
          <w:color w:val="000000"/>
          <w:sz w:val="24"/>
          <w:highlight w:val="none"/>
          <w:shd w:val="clear" w:fill="FFFFFF"/>
        </w:rPr>
        <w:t>6.中标人员工的五险一金等由中标人负责。若中标人聘用的员工出现意外伤亡、工伤与采购人无关，一切责任由中标人负责。</w:t>
      </w:r>
    </w:p>
    <w:p w14:paraId="74471C04">
      <w:pPr>
        <w:pStyle w:val="4"/>
        <w:ind w:firstLine="480"/>
        <w:jc w:val="both"/>
        <w:rPr>
          <w:highlight w:val="none"/>
        </w:rPr>
      </w:pPr>
      <w:r>
        <w:rPr>
          <w:rFonts w:ascii="仿宋_GB2312" w:hAnsi="仿宋_GB2312" w:eastAsia="仿宋_GB2312" w:cs="仿宋_GB2312"/>
          <w:color w:val="000000"/>
          <w:sz w:val="24"/>
          <w:highlight w:val="none"/>
          <w:shd w:val="clear" w:fill="FFFFFF"/>
        </w:rPr>
        <w:t>7.中标人不得拖欠员工的薪资，薪资的发放应满足劳动法等法律法规的要求。</w:t>
      </w:r>
    </w:p>
    <w:p w14:paraId="23AC7603">
      <w:pPr>
        <w:pStyle w:val="4"/>
        <w:jc w:val="both"/>
        <w:rPr>
          <w:highlight w:val="none"/>
        </w:rPr>
      </w:pPr>
      <w:r>
        <w:rPr>
          <w:rFonts w:ascii="仿宋_GB2312" w:hAnsi="仿宋_GB2312" w:eastAsia="仿宋_GB2312" w:cs="仿宋_GB2312"/>
          <w:color w:val="000000"/>
          <w:sz w:val="24"/>
          <w:highlight w:val="none"/>
          <w:shd w:val="clear" w:fill="FFFFFF"/>
        </w:rPr>
        <w:t>（四）投入设备及材料要求</w:t>
      </w:r>
    </w:p>
    <w:p w14:paraId="27E77986">
      <w:pPr>
        <w:pStyle w:val="4"/>
        <w:jc w:val="both"/>
        <w:rPr>
          <w:highlight w:val="none"/>
        </w:rPr>
      </w:pPr>
      <w:r>
        <w:rPr>
          <w:rFonts w:ascii="仿宋_GB2312" w:hAnsi="仿宋_GB2312" w:eastAsia="仿宋_GB2312" w:cs="仿宋_GB2312"/>
          <w:color w:val="000000"/>
          <w:sz w:val="24"/>
          <w:highlight w:val="none"/>
          <w:shd w:val="clear" w:fill="FFFFFF"/>
        </w:rPr>
        <w:t>1|.采购人现有可提供的场地和设施设备如下：</w:t>
      </w:r>
    </w:p>
    <w:tbl>
      <w:tblPr>
        <w:tblStyle w:val="2"/>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750"/>
        <w:gridCol w:w="1545"/>
        <w:gridCol w:w="2865"/>
        <w:gridCol w:w="750"/>
        <w:gridCol w:w="1020"/>
      </w:tblGrid>
      <w:tr w14:paraId="5B21AA3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930" w:type="dxa"/>
            <w:gridSpan w:val="5"/>
            <w:tcBorders>
              <w:top w:val="nil"/>
              <w:left w:val="nil"/>
              <w:bottom w:val="nil"/>
              <w:right w:val="nil"/>
            </w:tcBorders>
            <w:tcMar>
              <w:top w:w="0" w:type="dxa"/>
              <w:left w:w="105" w:type="dxa"/>
              <w:bottom w:w="0" w:type="dxa"/>
              <w:right w:w="105" w:type="dxa"/>
            </w:tcMar>
            <w:vAlign w:val="top"/>
          </w:tcPr>
          <w:p w14:paraId="446EB7D0">
            <w:pPr>
              <w:pStyle w:val="4"/>
              <w:jc w:val="center"/>
              <w:rPr>
                <w:highlight w:val="none"/>
              </w:rPr>
            </w:pPr>
            <w:r>
              <w:rPr>
                <w:rFonts w:ascii="仿宋_GB2312" w:hAnsi="仿宋_GB2312" w:eastAsia="仿宋_GB2312" w:cs="仿宋_GB2312"/>
                <w:color w:val="000000"/>
                <w:sz w:val="24"/>
                <w:highlight w:val="none"/>
                <w:shd w:val="clear" w:fill="FFFFFF"/>
              </w:rPr>
              <w:t>采购人可提供场地及设施设备清单明细</w:t>
            </w:r>
          </w:p>
        </w:tc>
      </w:tr>
      <w:tr w14:paraId="4689D92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50"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06217A32">
            <w:pPr>
              <w:pStyle w:val="4"/>
              <w:jc w:val="center"/>
              <w:rPr>
                <w:highlight w:val="none"/>
              </w:rPr>
            </w:pPr>
            <w:r>
              <w:rPr>
                <w:rFonts w:ascii="仿宋_GB2312" w:hAnsi="仿宋_GB2312" w:eastAsia="仿宋_GB2312" w:cs="仿宋_GB2312"/>
                <w:color w:val="000000"/>
                <w:sz w:val="24"/>
                <w:highlight w:val="none"/>
                <w:shd w:val="clear" w:fill="FFFFFF"/>
              </w:rPr>
              <w:t>序号</w:t>
            </w:r>
          </w:p>
        </w:tc>
        <w:tc>
          <w:tcPr>
            <w:tcW w:w="1545"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4E8DA850">
            <w:pPr>
              <w:pStyle w:val="4"/>
              <w:jc w:val="center"/>
              <w:rPr>
                <w:highlight w:val="none"/>
              </w:rPr>
            </w:pPr>
            <w:r>
              <w:rPr>
                <w:rFonts w:ascii="仿宋_GB2312" w:hAnsi="仿宋_GB2312" w:eastAsia="仿宋_GB2312" w:cs="仿宋_GB2312"/>
                <w:color w:val="000000"/>
                <w:sz w:val="24"/>
                <w:highlight w:val="none"/>
                <w:shd w:val="clear" w:fill="FFFFFF"/>
              </w:rPr>
              <w:t>地点</w:t>
            </w:r>
          </w:p>
        </w:tc>
        <w:tc>
          <w:tcPr>
            <w:tcW w:w="2865"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00293FD9">
            <w:pPr>
              <w:pStyle w:val="4"/>
              <w:jc w:val="center"/>
              <w:rPr>
                <w:highlight w:val="none"/>
              </w:rPr>
            </w:pPr>
            <w:r>
              <w:rPr>
                <w:rFonts w:ascii="仿宋_GB2312" w:hAnsi="仿宋_GB2312" w:eastAsia="仿宋_GB2312" w:cs="仿宋_GB2312"/>
                <w:color w:val="000000"/>
                <w:sz w:val="24"/>
                <w:highlight w:val="none"/>
                <w:shd w:val="clear" w:fill="FFFFFF"/>
              </w:rPr>
              <w:t>名称</w:t>
            </w:r>
          </w:p>
        </w:tc>
        <w:tc>
          <w:tcPr>
            <w:tcW w:w="750"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449A1D01">
            <w:pPr>
              <w:pStyle w:val="4"/>
              <w:jc w:val="center"/>
              <w:rPr>
                <w:highlight w:val="none"/>
              </w:rPr>
            </w:pPr>
            <w:r>
              <w:rPr>
                <w:rFonts w:ascii="仿宋_GB2312" w:hAnsi="仿宋_GB2312" w:eastAsia="仿宋_GB2312" w:cs="仿宋_GB2312"/>
                <w:color w:val="000000"/>
                <w:sz w:val="24"/>
                <w:highlight w:val="none"/>
                <w:shd w:val="clear" w:fill="FFFFFF"/>
              </w:rPr>
              <w:t>数量</w:t>
            </w:r>
          </w:p>
        </w:tc>
        <w:tc>
          <w:tcPr>
            <w:tcW w:w="1020"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6687944A">
            <w:pPr>
              <w:pStyle w:val="4"/>
              <w:jc w:val="center"/>
              <w:rPr>
                <w:highlight w:val="none"/>
              </w:rPr>
            </w:pPr>
            <w:r>
              <w:rPr>
                <w:rFonts w:ascii="仿宋_GB2312" w:hAnsi="仿宋_GB2312" w:eastAsia="仿宋_GB2312" w:cs="仿宋_GB2312"/>
                <w:color w:val="000000"/>
                <w:sz w:val="24"/>
                <w:highlight w:val="none"/>
                <w:shd w:val="clear" w:fill="FFFFFF"/>
              </w:rPr>
              <w:t>单位</w:t>
            </w:r>
          </w:p>
        </w:tc>
      </w:tr>
      <w:tr w14:paraId="26D1942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50"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5BC9EEE">
            <w:pPr>
              <w:pStyle w:val="4"/>
              <w:jc w:val="center"/>
              <w:rPr>
                <w:highlight w:val="none"/>
              </w:rPr>
            </w:pPr>
            <w:r>
              <w:rPr>
                <w:rFonts w:ascii="仿宋_GB2312" w:hAnsi="仿宋_GB2312" w:eastAsia="仿宋_GB2312" w:cs="仿宋_GB2312"/>
                <w:color w:val="000000"/>
                <w:sz w:val="24"/>
                <w:highlight w:val="none"/>
                <w:shd w:val="clear" w:fill="FFFFFF"/>
              </w:rPr>
              <w:t>1</w:t>
            </w:r>
          </w:p>
        </w:tc>
        <w:tc>
          <w:tcPr>
            <w:tcW w:w="1545" w:type="dxa"/>
            <w:tcBorders>
              <w:top w:val="nil"/>
              <w:left w:val="nil"/>
              <w:bottom w:val="single" w:color="000000" w:sz="4" w:space="0"/>
              <w:right w:val="single" w:color="000000" w:sz="4" w:space="0"/>
            </w:tcBorders>
            <w:tcMar>
              <w:top w:w="0" w:type="dxa"/>
              <w:left w:w="105" w:type="dxa"/>
              <w:bottom w:w="0" w:type="dxa"/>
              <w:right w:w="105" w:type="dxa"/>
            </w:tcMar>
            <w:vAlign w:val="top"/>
          </w:tcPr>
          <w:p w14:paraId="66C7500B">
            <w:pPr>
              <w:pStyle w:val="4"/>
              <w:jc w:val="center"/>
              <w:rPr>
                <w:highlight w:val="none"/>
              </w:rPr>
            </w:pPr>
            <w:r>
              <w:rPr>
                <w:rFonts w:ascii="仿宋_GB2312" w:hAnsi="仿宋_GB2312" w:eastAsia="仿宋_GB2312" w:cs="仿宋_GB2312"/>
                <w:color w:val="000000"/>
                <w:sz w:val="24"/>
                <w:highlight w:val="none"/>
                <w:shd w:val="clear" w:fill="FFFFFF"/>
              </w:rPr>
              <w:t>行政楼</w:t>
            </w:r>
          </w:p>
        </w:tc>
        <w:tc>
          <w:tcPr>
            <w:tcW w:w="2865" w:type="dxa"/>
            <w:tcBorders>
              <w:top w:val="nil"/>
              <w:left w:val="nil"/>
              <w:bottom w:val="single" w:color="000000" w:sz="4" w:space="0"/>
              <w:right w:val="single" w:color="000000" w:sz="4" w:space="0"/>
            </w:tcBorders>
            <w:tcMar>
              <w:top w:w="0" w:type="dxa"/>
              <w:left w:w="105" w:type="dxa"/>
              <w:bottom w:w="0" w:type="dxa"/>
              <w:right w:w="105" w:type="dxa"/>
            </w:tcMar>
            <w:vAlign w:val="top"/>
          </w:tcPr>
          <w:p w14:paraId="1F8D3546">
            <w:pPr>
              <w:pStyle w:val="4"/>
              <w:jc w:val="center"/>
              <w:rPr>
                <w:highlight w:val="none"/>
              </w:rPr>
            </w:pPr>
            <w:r>
              <w:rPr>
                <w:rFonts w:ascii="仿宋_GB2312" w:hAnsi="仿宋_GB2312" w:eastAsia="仿宋_GB2312" w:cs="仿宋_GB2312"/>
                <w:color w:val="000000"/>
                <w:sz w:val="24"/>
                <w:highlight w:val="none"/>
                <w:shd w:val="clear" w:fill="FFFFFF"/>
              </w:rPr>
              <w:t>物业办公室</w:t>
            </w:r>
          </w:p>
        </w:tc>
        <w:tc>
          <w:tcPr>
            <w:tcW w:w="750" w:type="dxa"/>
            <w:tcBorders>
              <w:top w:val="nil"/>
              <w:left w:val="nil"/>
              <w:bottom w:val="single" w:color="000000" w:sz="4" w:space="0"/>
              <w:right w:val="single" w:color="000000" w:sz="4" w:space="0"/>
            </w:tcBorders>
            <w:tcMar>
              <w:top w:w="0" w:type="dxa"/>
              <w:left w:w="105" w:type="dxa"/>
              <w:bottom w:w="0" w:type="dxa"/>
              <w:right w:w="105" w:type="dxa"/>
            </w:tcMar>
            <w:vAlign w:val="top"/>
          </w:tcPr>
          <w:p w14:paraId="5C9E4846">
            <w:pPr>
              <w:pStyle w:val="4"/>
              <w:jc w:val="center"/>
              <w:rPr>
                <w:highlight w:val="none"/>
              </w:rPr>
            </w:pPr>
            <w:r>
              <w:rPr>
                <w:rFonts w:ascii="仿宋_GB2312" w:hAnsi="仿宋_GB2312" w:eastAsia="仿宋_GB2312" w:cs="仿宋_GB2312"/>
                <w:color w:val="000000"/>
                <w:sz w:val="24"/>
                <w:highlight w:val="none"/>
                <w:shd w:val="clear" w:fill="FFFFFF"/>
              </w:rPr>
              <w:t>35</w:t>
            </w:r>
          </w:p>
        </w:tc>
        <w:tc>
          <w:tcPr>
            <w:tcW w:w="1020" w:type="dxa"/>
            <w:tcBorders>
              <w:top w:val="nil"/>
              <w:left w:val="nil"/>
              <w:bottom w:val="single" w:color="000000" w:sz="4" w:space="0"/>
              <w:right w:val="single" w:color="000000" w:sz="4" w:space="0"/>
            </w:tcBorders>
            <w:tcMar>
              <w:top w:w="0" w:type="dxa"/>
              <w:left w:w="105" w:type="dxa"/>
              <w:bottom w:w="0" w:type="dxa"/>
              <w:right w:w="105" w:type="dxa"/>
            </w:tcMar>
            <w:vAlign w:val="top"/>
          </w:tcPr>
          <w:p w14:paraId="6B575E30">
            <w:pPr>
              <w:pStyle w:val="4"/>
              <w:jc w:val="center"/>
              <w:rPr>
                <w:highlight w:val="none"/>
              </w:rPr>
            </w:pPr>
            <w:r>
              <w:rPr>
                <w:rFonts w:ascii="仿宋_GB2312" w:hAnsi="仿宋_GB2312" w:eastAsia="仿宋_GB2312" w:cs="仿宋_GB2312"/>
                <w:color w:val="000000"/>
                <w:sz w:val="24"/>
                <w:highlight w:val="none"/>
                <w:shd w:val="clear" w:fill="FFFFFF"/>
              </w:rPr>
              <w:t>平方米</w:t>
            </w:r>
          </w:p>
        </w:tc>
      </w:tr>
      <w:tr w14:paraId="3566C22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50"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0488E15D">
            <w:pPr>
              <w:pStyle w:val="4"/>
              <w:jc w:val="center"/>
              <w:rPr>
                <w:highlight w:val="none"/>
              </w:rPr>
            </w:pPr>
            <w:r>
              <w:rPr>
                <w:rFonts w:ascii="仿宋_GB2312" w:hAnsi="仿宋_GB2312" w:eastAsia="仿宋_GB2312" w:cs="仿宋_GB2312"/>
                <w:color w:val="000000"/>
                <w:sz w:val="24"/>
                <w:highlight w:val="none"/>
                <w:shd w:val="clear" w:fill="FFFFFF"/>
              </w:rPr>
              <w:t>2</w:t>
            </w:r>
          </w:p>
        </w:tc>
        <w:tc>
          <w:tcPr>
            <w:tcW w:w="1545" w:type="dxa"/>
            <w:tcBorders>
              <w:top w:val="nil"/>
              <w:left w:val="nil"/>
              <w:bottom w:val="single" w:color="000000" w:sz="4" w:space="0"/>
              <w:right w:val="single" w:color="000000" w:sz="4" w:space="0"/>
            </w:tcBorders>
            <w:tcMar>
              <w:top w:w="0" w:type="dxa"/>
              <w:left w:w="105" w:type="dxa"/>
              <w:bottom w:w="0" w:type="dxa"/>
              <w:right w:w="105" w:type="dxa"/>
            </w:tcMar>
            <w:vAlign w:val="top"/>
          </w:tcPr>
          <w:p w14:paraId="1FCF853C">
            <w:pPr>
              <w:pStyle w:val="4"/>
              <w:jc w:val="center"/>
              <w:rPr>
                <w:highlight w:val="none"/>
              </w:rPr>
            </w:pPr>
            <w:r>
              <w:rPr>
                <w:rFonts w:ascii="仿宋_GB2312" w:hAnsi="仿宋_GB2312" w:eastAsia="仿宋_GB2312" w:cs="仿宋_GB2312"/>
                <w:color w:val="000000"/>
                <w:sz w:val="24"/>
                <w:highlight w:val="none"/>
                <w:shd w:val="clear" w:fill="FFFFFF"/>
              </w:rPr>
              <w:t>各区</w:t>
            </w:r>
          </w:p>
        </w:tc>
        <w:tc>
          <w:tcPr>
            <w:tcW w:w="2865" w:type="dxa"/>
            <w:tcBorders>
              <w:top w:val="nil"/>
              <w:left w:val="nil"/>
              <w:bottom w:val="single" w:color="000000" w:sz="4" w:space="0"/>
              <w:right w:val="single" w:color="000000" w:sz="4" w:space="0"/>
            </w:tcBorders>
            <w:tcMar>
              <w:top w:w="0" w:type="dxa"/>
              <w:left w:w="105" w:type="dxa"/>
              <w:bottom w:w="0" w:type="dxa"/>
              <w:right w:w="105" w:type="dxa"/>
            </w:tcMar>
            <w:vAlign w:val="top"/>
          </w:tcPr>
          <w:p w14:paraId="7B38939A">
            <w:pPr>
              <w:pStyle w:val="4"/>
              <w:jc w:val="center"/>
              <w:rPr>
                <w:highlight w:val="none"/>
              </w:rPr>
            </w:pPr>
            <w:r>
              <w:rPr>
                <w:rFonts w:ascii="仿宋_GB2312" w:hAnsi="仿宋_GB2312" w:eastAsia="仿宋_GB2312" w:cs="仿宋_GB2312"/>
                <w:color w:val="000000"/>
                <w:sz w:val="24"/>
                <w:highlight w:val="none"/>
                <w:shd w:val="clear" w:fill="FFFFFF"/>
              </w:rPr>
              <w:t>电工值班室</w:t>
            </w:r>
          </w:p>
        </w:tc>
        <w:tc>
          <w:tcPr>
            <w:tcW w:w="750" w:type="dxa"/>
            <w:tcBorders>
              <w:top w:val="nil"/>
              <w:left w:val="nil"/>
              <w:bottom w:val="single" w:color="000000" w:sz="4" w:space="0"/>
              <w:right w:val="single" w:color="000000" w:sz="4" w:space="0"/>
            </w:tcBorders>
            <w:tcMar>
              <w:top w:w="0" w:type="dxa"/>
              <w:left w:w="105" w:type="dxa"/>
              <w:bottom w:w="0" w:type="dxa"/>
              <w:right w:w="105" w:type="dxa"/>
            </w:tcMar>
            <w:vAlign w:val="top"/>
          </w:tcPr>
          <w:p w14:paraId="52AD5555">
            <w:pPr>
              <w:pStyle w:val="4"/>
              <w:jc w:val="center"/>
              <w:rPr>
                <w:highlight w:val="none"/>
              </w:rPr>
            </w:pPr>
            <w:r>
              <w:rPr>
                <w:rFonts w:ascii="仿宋_GB2312" w:hAnsi="仿宋_GB2312" w:eastAsia="仿宋_GB2312" w:cs="仿宋_GB2312"/>
                <w:color w:val="000000"/>
                <w:sz w:val="24"/>
                <w:highlight w:val="none"/>
                <w:shd w:val="clear" w:fill="FFFFFF"/>
              </w:rPr>
              <w:t>4</w:t>
            </w:r>
          </w:p>
        </w:tc>
        <w:tc>
          <w:tcPr>
            <w:tcW w:w="1020" w:type="dxa"/>
            <w:tcBorders>
              <w:top w:val="nil"/>
              <w:left w:val="nil"/>
              <w:bottom w:val="single" w:color="000000" w:sz="4" w:space="0"/>
              <w:right w:val="single" w:color="000000" w:sz="4" w:space="0"/>
            </w:tcBorders>
            <w:tcMar>
              <w:top w:w="0" w:type="dxa"/>
              <w:left w:w="105" w:type="dxa"/>
              <w:bottom w:w="0" w:type="dxa"/>
              <w:right w:w="105" w:type="dxa"/>
            </w:tcMar>
            <w:vAlign w:val="top"/>
          </w:tcPr>
          <w:p w14:paraId="7DF4CB72">
            <w:pPr>
              <w:pStyle w:val="4"/>
              <w:jc w:val="center"/>
              <w:rPr>
                <w:highlight w:val="none"/>
              </w:rPr>
            </w:pPr>
            <w:r>
              <w:rPr>
                <w:rFonts w:ascii="仿宋_GB2312" w:hAnsi="仿宋_GB2312" w:eastAsia="仿宋_GB2312" w:cs="仿宋_GB2312"/>
                <w:color w:val="000000"/>
                <w:sz w:val="24"/>
                <w:highlight w:val="none"/>
                <w:shd w:val="clear" w:fill="FFFFFF"/>
              </w:rPr>
              <w:t>间</w:t>
            </w:r>
          </w:p>
        </w:tc>
      </w:tr>
      <w:tr w14:paraId="2483953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50"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F243CED">
            <w:pPr>
              <w:pStyle w:val="4"/>
              <w:jc w:val="center"/>
              <w:rPr>
                <w:highlight w:val="none"/>
              </w:rPr>
            </w:pPr>
            <w:r>
              <w:rPr>
                <w:rFonts w:ascii="仿宋_GB2312" w:hAnsi="仿宋_GB2312" w:eastAsia="仿宋_GB2312" w:cs="仿宋_GB2312"/>
                <w:color w:val="000000"/>
                <w:sz w:val="24"/>
                <w:highlight w:val="none"/>
                <w:shd w:val="clear" w:fill="FFFFFF"/>
              </w:rPr>
              <w:t>3</w:t>
            </w:r>
          </w:p>
        </w:tc>
        <w:tc>
          <w:tcPr>
            <w:tcW w:w="1545" w:type="dxa"/>
            <w:tcBorders>
              <w:top w:val="nil"/>
              <w:left w:val="nil"/>
              <w:bottom w:val="single" w:color="000000" w:sz="4" w:space="0"/>
              <w:right w:val="single" w:color="000000" w:sz="4" w:space="0"/>
            </w:tcBorders>
            <w:tcMar>
              <w:top w:w="0" w:type="dxa"/>
              <w:left w:w="105" w:type="dxa"/>
              <w:bottom w:w="0" w:type="dxa"/>
              <w:right w:w="105" w:type="dxa"/>
            </w:tcMar>
            <w:vAlign w:val="top"/>
          </w:tcPr>
          <w:p w14:paraId="1D983234">
            <w:pPr>
              <w:pStyle w:val="4"/>
              <w:jc w:val="center"/>
              <w:rPr>
                <w:highlight w:val="none"/>
              </w:rPr>
            </w:pPr>
            <w:r>
              <w:rPr>
                <w:rFonts w:ascii="仿宋_GB2312" w:hAnsi="仿宋_GB2312" w:eastAsia="仿宋_GB2312" w:cs="仿宋_GB2312"/>
                <w:color w:val="000000"/>
                <w:sz w:val="24"/>
                <w:highlight w:val="none"/>
                <w:shd w:val="clear" w:fill="FFFFFF"/>
              </w:rPr>
              <w:t>学生宿舍楼</w:t>
            </w:r>
          </w:p>
        </w:tc>
        <w:tc>
          <w:tcPr>
            <w:tcW w:w="2865" w:type="dxa"/>
            <w:tcBorders>
              <w:top w:val="nil"/>
              <w:left w:val="nil"/>
              <w:bottom w:val="single" w:color="000000" w:sz="4" w:space="0"/>
              <w:right w:val="single" w:color="000000" w:sz="4" w:space="0"/>
            </w:tcBorders>
            <w:tcMar>
              <w:top w:w="0" w:type="dxa"/>
              <w:left w:w="105" w:type="dxa"/>
              <w:bottom w:w="0" w:type="dxa"/>
              <w:right w:w="105" w:type="dxa"/>
            </w:tcMar>
            <w:vAlign w:val="top"/>
          </w:tcPr>
          <w:p w14:paraId="43697077">
            <w:pPr>
              <w:pStyle w:val="4"/>
              <w:jc w:val="center"/>
              <w:rPr>
                <w:highlight w:val="none"/>
              </w:rPr>
            </w:pPr>
            <w:r>
              <w:rPr>
                <w:rFonts w:ascii="仿宋_GB2312" w:hAnsi="仿宋_GB2312" w:eastAsia="仿宋_GB2312" w:cs="仿宋_GB2312"/>
                <w:color w:val="000000"/>
                <w:sz w:val="24"/>
                <w:highlight w:val="none"/>
                <w:shd w:val="clear" w:fill="FFFFFF"/>
              </w:rPr>
              <w:t>宿管值班室</w:t>
            </w:r>
          </w:p>
        </w:tc>
        <w:tc>
          <w:tcPr>
            <w:tcW w:w="750" w:type="dxa"/>
            <w:tcBorders>
              <w:top w:val="nil"/>
              <w:left w:val="nil"/>
              <w:bottom w:val="single" w:color="000000" w:sz="4" w:space="0"/>
              <w:right w:val="single" w:color="000000" w:sz="4" w:space="0"/>
            </w:tcBorders>
            <w:tcMar>
              <w:top w:w="0" w:type="dxa"/>
              <w:left w:w="105" w:type="dxa"/>
              <w:bottom w:w="0" w:type="dxa"/>
              <w:right w:w="105" w:type="dxa"/>
            </w:tcMar>
            <w:vAlign w:val="top"/>
          </w:tcPr>
          <w:p w14:paraId="2A10A26E">
            <w:pPr>
              <w:pStyle w:val="4"/>
              <w:jc w:val="center"/>
              <w:rPr>
                <w:highlight w:val="none"/>
              </w:rPr>
            </w:pPr>
            <w:r>
              <w:rPr>
                <w:rFonts w:ascii="仿宋_GB2312" w:hAnsi="仿宋_GB2312" w:eastAsia="仿宋_GB2312" w:cs="仿宋_GB2312"/>
                <w:color w:val="000000"/>
                <w:sz w:val="24"/>
                <w:highlight w:val="none"/>
                <w:shd w:val="clear" w:fill="FFFFFF"/>
              </w:rPr>
              <w:t>22</w:t>
            </w:r>
          </w:p>
        </w:tc>
        <w:tc>
          <w:tcPr>
            <w:tcW w:w="1020" w:type="dxa"/>
            <w:tcBorders>
              <w:top w:val="nil"/>
              <w:left w:val="nil"/>
              <w:bottom w:val="single" w:color="000000" w:sz="4" w:space="0"/>
              <w:right w:val="single" w:color="000000" w:sz="4" w:space="0"/>
            </w:tcBorders>
            <w:tcMar>
              <w:top w:w="0" w:type="dxa"/>
              <w:left w:w="105" w:type="dxa"/>
              <w:bottom w:w="0" w:type="dxa"/>
              <w:right w:w="105" w:type="dxa"/>
            </w:tcMar>
            <w:vAlign w:val="top"/>
          </w:tcPr>
          <w:p w14:paraId="5F922C9C">
            <w:pPr>
              <w:pStyle w:val="4"/>
              <w:jc w:val="center"/>
              <w:rPr>
                <w:highlight w:val="none"/>
              </w:rPr>
            </w:pPr>
            <w:r>
              <w:rPr>
                <w:rFonts w:ascii="仿宋_GB2312" w:hAnsi="仿宋_GB2312" w:eastAsia="仿宋_GB2312" w:cs="仿宋_GB2312"/>
                <w:color w:val="000000"/>
                <w:sz w:val="24"/>
                <w:highlight w:val="none"/>
                <w:shd w:val="clear" w:fill="FFFFFF"/>
              </w:rPr>
              <w:t>间</w:t>
            </w:r>
          </w:p>
        </w:tc>
      </w:tr>
      <w:tr w14:paraId="76809C2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50"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0F22C2F2">
            <w:pPr>
              <w:pStyle w:val="4"/>
              <w:jc w:val="center"/>
              <w:rPr>
                <w:highlight w:val="none"/>
              </w:rPr>
            </w:pPr>
            <w:r>
              <w:rPr>
                <w:rFonts w:ascii="仿宋_GB2312" w:hAnsi="仿宋_GB2312" w:eastAsia="仿宋_GB2312" w:cs="仿宋_GB2312"/>
                <w:color w:val="000000"/>
                <w:sz w:val="24"/>
                <w:highlight w:val="none"/>
                <w:shd w:val="clear" w:fill="FFFFFF"/>
              </w:rPr>
              <w:t>4</w:t>
            </w:r>
          </w:p>
        </w:tc>
        <w:tc>
          <w:tcPr>
            <w:tcW w:w="1545" w:type="dxa"/>
            <w:tcBorders>
              <w:top w:val="nil"/>
              <w:left w:val="nil"/>
              <w:bottom w:val="single" w:color="000000" w:sz="4" w:space="0"/>
              <w:right w:val="single" w:color="000000" w:sz="4" w:space="0"/>
            </w:tcBorders>
            <w:tcMar>
              <w:top w:w="0" w:type="dxa"/>
              <w:left w:w="105" w:type="dxa"/>
              <w:bottom w:w="0" w:type="dxa"/>
              <w:right w:w="105" w:type="dxa"/>
            </w:tcMar>
            <w:vAlign w:val="top"/>
          </w:tcPr>
          <w:p w14:paraId="27CE95D6">
            <w:pPr>
              <w:pStyle w:val="4"/>
              <w:jc w:val="center"/>
              <w:rPr>
                <w:highlight w:val="none"/>
              </w:rPr>
            </w:pPr>
            <w:r>
              <w:rPr>
                <w:rFonts w:ascii="仿宋_GB2312" w:hAnsi="仿宋_GB2312" w:eastAsia="仿宋_GB2312" w:cs="仿宋_GB2312"/>
                <w:color w:val="000000"/>
                <w:sz w:val="24"/>
                <w:highlight w:val="none"/>
                <w:shd w:val="clear" w:fill="FFFFFF"/>
              </w:rPr>
              <w:t>各区</w:t>
            </w:r>
          </w:p>
        </w:tc>
        <w:tc>
          <w:tcPr>
            <w:tcW w:w="2865" w:type="dxa"/>
            <w:tcBorders>
              <w:top w:val="nil"/>
              <w:left w:val="nil"/>
              <w:bottom w:val="single" w:color="000000" w:sz="4" w:space="0"/>
              <w:right w:val="single" w:color="000000" w:sz="4" w:space="0"/>
            </w:tcBorders>
            <w:tcMar>
              <w:top w:w="0" w:type="dxa"/>
              <w:left w:w="105" w:type="dxa"/>
              <w:bottom w:w="0" w:type="dxa"/>
              <w:right w:w="105" w:type="dxa"/>
            </w:tcMar>
            <w:vAlign w:val="top"/>
          </w:tcPr>
          <w:p w14:paraId="7AA6B749">
            <w:pPr>
              <w:pStyle w:val="4"/>
              <w:jc w:val="center"/>
              <w:rPr>
                <w:highlight w:val="none"/>
              </w:rPr>
            </w:pPr>
            <w:r>
              <w:rPr>
                <w:rFonts w:ascii="仿宋_GB2312" w:hAnsi="仿宋_GB2312" w:eastAsia="仿宋_GB2312" w:cs="仿宋_GB2312"/>
                <w:color w:val="000000"/>
                <w:sz w:val="24"/>
                <w:highlight w:val="none"/>
                <w:shd w:val="clear" w:fill="FFFFFF"/>
              </w:rPr>
              <w:t>外围保洁</w:t>
            </w:r>
          </w:p>
        </w:tc>
        <w:tc>
          <w:tcPr>
            <w:tcW w:w="750" w:type="dxa"/>
            <w:tcBorders>
              <w:top w:val="nil"/>
              <w:left w:val="nil"/>
              <w:bottom w:val="single" w:color="000000" w:sz="4" w:space="0"/>
              <w:right w:val="single" w:color="000000" w:sz="4" w:space="0"/>
            </w:tcBorders>
            <w:tcMar>
              <w:top w:w="0" w:type="dxa"/>
              <w:left w:w="105" w:type="dxa"/>
              <w:bottom w:w="0" w:type="dxa"/>
              <w:right w:w="105" w:type="dxa"/>
            </w:tcMar>
            <w:vAlign w:val="top"/>
          </w:tcPr>
          <w:p w14:paraId="14DB2401">
            <w:pPr>
              <w:pStyle w:val="4"/>
              <w:jc w:val="center"/>
              <w:rPr>
                <w:highlight w:val="none"/>
              </w:rPr>
            </w:pPr>
            <w:r>
              <w:rPr>
                <w:rFonts w:ascii="仿宋_GB2312" w:hAnsi="仿宋_GB2312" w:eastAsia="仿宋_GB2312" w:cs="仿宋_GB2312"/>
                <w:color w:val="000000"/>
                <w:sz w:val="24"/>
                <w:highlight w:val="none"/>
                <w:shd w:val="clear" w:fill="FFFFFF"/>
              </w:rPr>
              <w:t>4</w:t>
            </w:r>
          </w:p>
        </w:tc>
        <w:tc>
          <w:tcPr>
            <w:tcW w:w="1020" w:type="dxa"/>
            <w:tcBorders>
              <w:top w:val="nil"/>
              <w:left w:val="nil"/>
              <w:bottom w:val="single" w:color="000000" w:sz="4" w:space="0"/>
              <w:right w:val="single" w:color="000000" w:sz="4" w:space="0"/>
            </w:tcBorders>
            <w:tcMar>
              <w:top w:w="0" w:type="dxa"/>
              <w:left w:w="105" w:type="dxa"/>
              <w:bottom w:w="0" w:type="dxa"/>
              <w:right w:w="105" w:type="dxa"/>
            </w:tcMar>
            <w:vAlign w:val="top"/>
          </w:tcPr>
          <w:p w14:paraId="755CF137">
            <w:pPr>
              <w:pStyle w:val="4"/>
              <w:jc w:val="center"/>
              <w:rPr>
                <w:highlight w:val="none"/>
              </w:rPr>
            </w:pPr>
            <w:r>
              <w:rPr>
                <w:rFonts w:ascii="仿宋_GB2312" w:hAnsi="仿宋_GB2312" w:eastAsia="仿宋_GB2312" w:cs="仿宋_GB2312"/>
                <w:color w:val="000000"/>
                <w:sz w:val="24"/>
                <w:highlight w:val="none"/>
                <w:shd w:val="clear" w:fill="FFFFFF"/>
              </w:rPr>
              <w:t>间</w:t>
            </w:r>
          </w:p>
        </w:tc>
      </w:tr>
      <w:tr w14:paraId="6B78E2F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50"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6B665564">
            <w:pPr>
              <w:pStyle w:val="4"/>
              <w:jc w:val="center"/>
              <w:rPr>
                <w:highlight w:val="none"/>
              </w:rPr>
            </w:pPr>
            <w:r>
              <w:rPr>
                <w:rFonts w:ascii="仿宋_GB2312" w:hAnsi="仿宋_GB2312" w:eastAsia="仿宋_GB2312" w:cs="仿宋_GB2312"/>
                <w:color w:val="000000"/>
                <w:sz w:val="24"/>
                <w:highlight w:val="none"/>
                <w:shd w:val="clear" w:fill="FFFFFF"/>
              </w:rPr>
              <w:t>5</w:t>
            </w:r>
          </w:p>
        </w:tc>
        <w:tc>
          <w:tcPr>
            <w:tcW w:w="1545" w:type="dxa"/>
            <w:tcBorders>
              <w:top w:val="nil"/>
              <w:left w:val="nil"/>
              <w:bottom w:val="single" w:color="000000" w:sz="4" w:space="0"/>
              <w:right w:val="single" w:color="000000" w:sz="4" w:space="0"/>
            </w:tcBorders>
            <w:tcMar>
              <w:top w:w="0" w:type="dxa"/>
              <w:left w:w="105" w:type="dxa"/>
              <w:bottom w:w="0" w:type="dxa"/>
              <w:right w:w="105" w:type="dxa"/>
            </w:tcMar>
            <w:vAlign w:val="top"/>
          </w:tcPr>
          <w:p w14:paraId="5D2D3A41">
            <w:pPr>
              <w:pStyle w:val="4"/>
              <w:jc w:val="center"/>
              <w:rPr>
                <w:highlight w:val="none"/>
              </w:rPr>
            </w:pPr>
            <w:r>
              <w:rPr>
                <w:rFonts w:ascii="仿宋_GB2312" w:hAnsi="仿宋_GB2312" w:eastAsia="仿宋_GB2312" w:cs="仿宋_GB2312"/>
                <w:color w:val="000000"/>
                <w:sz w:val="24"/>
                <w:highlight w:val="none"/>
                <w:shd w:val="clear" w:fill="FFFFFF"/>
              </w:rPr>
              <w:t>办公室</w:t>
            </w:r>
          </w:p>
        </w:tc>
        <w:tc>
          <w:tcPr>
            <w:tcW w:w="2865" w:type="dxa"/>
            <w:tcBorders>
              <w:top w:val="nil"/>
              <w:left w:val="nil"/>
              <w:bottom w:val="single" w:color="000000" w:sz="4" w:space="0"/>
              <w:right w:val="single" w:color="000000" w:sz="4" w:space="0"/>
            </w:tcBorders>
            <w:tcMar>
              <w:top w:w="0" w:type="dxa"/>
              <w:left w:w="105" w:type="dxa"/>
              <w:bottom w:w="0" w:type="dxa"/>
              <w:right w:w="105" w:type="dxa"/>
            </w:tcMar>
            <w:vAlign w:val="top"/>
          </w:tcPr>
          <w:p w14:paraId="6024014C">
            <w:pPr>
              <w:pStyle w:val="4"/>
              <w:jc w:val="center"/>
              <w:rPr>
                <w:highlight w:val="none"/>
              </w:rPr>
            </w:pPr>
            <w:r>
              <w:rPr>
                <w:rFonts w:ascii="仿宋_GB2312" w:hAnsi="仿宋_GB2312" w:eastAsia="仿宋_GB2312" w:cs="仿宋_GB2312"/>
                <w:color w:val="000000"/>
                <w:sz w:val="24"/>
                <w:highlight w:val="none"/>
                <w:shd w:val="clear" w:fill="FFFFFF"/>
              </w:rPr>
              <w:t>台式电脑</w:t>
            </w:r>
          </w:p>
        </w:tc>
        <w:tc>
          <w:tcPr>
            <w:tcW w:w="750" w:type="dxa"/>
            <w:tcBorders>
              <w:top w:val="nil"/>
              <w:left w:val="nil"/>
              <w:bottom w:val="single" w:color="000000" w:sz="4" w:space="0"/>
              <w:right w:val="single" w:color="000000" w:sz="4" w:space="0"/>
            </w:tcBorders>
            <w:tcMar>
              <w:top w:w="0" w:type="dxa"/>
              <w:left w:w="105" w:type="dxa"/>
              <w:bottom w:w="0" w:type="dxa"/>
              <w:right w:w="105" w:type="dxa"/>
            </w:tcMar>
            <w:vAlign w:val="top"/>
          </w:tcPr>
          <w:p w14:paraId="66AE259A">
            <w:pPr>
              <w:pStyle w:val="4"/>
              <w:jc w:val="center"/>
              <w:rPr>
                <w:highlight w:val="none"/>
              </w:rPr>
            </w:pPr>
            <w:r>
              <w:rPr>
                <w:rFonts w:ascii="仿宋_GB2312" w:hAnsi="仿宋_GB2312" w:eastAsia="仿宋_GB2312" w:cs="仿宋_GB2312"/>
                <w:color w:val="000000"/>
                <w:sz w:val="24"/>
                <w:highlight w:val="none"/>
                <w:shd w:val="clear" w:fill="FFFFFF"/>
              </w:rPr>
              <w:t>5</w:t>
            </w:r>
          </w:p>
        </w:tc>
        <w:tc>
          <w:tcPr>
            <w:tcW w:w="1020" w:type="dxa"/>
            <w:tcBorders>
              <w:top w:val="nil"/>
              <w:left w:val="nil"/>
              <w:bottom w:val="single" w:color="000000" w:sz="4" w:space="0"/>
              <w:right w:val="single" w:color="000000" w:sz="4" w:space="0"/>
            </w:tcBorders>
            <w:tcMar>
              <w:top w:w="0" w:type="dxa"/>
              <w:left w:w="105" w:type="dxa"/>
              <w:bottom w:w="0" w:type="dxa"/>
              <w:right w:w="105" w:type="dxa"/>
            </w:tcMar>
            <w:vAlign w:val="top"/>
          </w:tcPr>
          <w:p w14:paraId="4EC18A2F">
            <w:pPr>
              <w:pStyle w:val="4"/>
              <w:jc w:val="center"/>
              <w:rPr>
                <w:highlight w:val="none"/>
              </w:rPr>
            </w:pPr>
            <w:r>
              <w:rPr>
                <w:rFonts w:ascii="仿宋_GB2312" w:hAnsi="仿宋_GB2312" w:eastAsia="仿宋_GB2312" w:cs="仿宋_GB2312"/>
                <w:color w:val="000000"/>
                <w:sz w:val="24"/>
                <w:highlight w:val="none"/>
                <w:shd w:val="clear" w:fill="FFFFFF"/>
              </w:rPr>
              <w:t>台</w:t>
            </w:r>
          </w:p>
        </w:tc>
      </w:tr>
      <w:tr w14:paraId="123E28B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50"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7924AB3">
            <w:pPr>
              <w:pStyle w:val="4"/>
              <w:jc w:val="center"/>
              <w:rPr>
                <w:highlight w:val="none"/>
              </w:rPr>
            </w:pPr>
            <w:r>
              <w:rPr>
                <w:rFonts w:ascii="仿宋_GB2312" w:hAnsi="仿宋_GB2312" w:eastAsia="仿宋_GB2312" w:cs="仿宋_GB2312"/>
                <w:color w:val="000000"/>
                <w:sz w:val="24"/>
                <w:highlight w:val="none"/>
                <w:shd w:val="clear" w:fill="FFFFFF"/>
              </w:rPr>
              <w:t>6</w:t>
            </w:r>
          </w:p>
        </w:tc>
        <w:tc>
          <w:tcPr>
            <w:tcW w:w="1545" w:type="dxa"/>
            <w:tcBorders>
              <w:top w:val="nil"/>
              <w:left w:val="nil"/>
              <w:bottom w:val="single" w:color="000000" w:sz="4" w:space="0"/>
              <w:right w:val="single" w:color="000000" w:sz="4" w:space="0"/>
            </w:tcBorders>
            <w:tcMar>
              <w:top w:w="0" w:type="dxa"/>
              <w:left w:w="105" w:type="dxa"/>
              <w:bottom w:w="0" w:type="dxa"/>
              <w:right w:w="105" w:type="dxa"/>
            </w:tcMar>
            <w:vAlign w:val="top"/>
          </w:tcPr>
          <w:p w14:paraId="06513452">
            <w:pPr>
              <w:pStyle w:val="4"/>
              <w:jc w:val="center"/>
              <w:rPr>
                <w:highlight w:val="none"/>
              </w:rPr>
            </w:pPr>
            <w:r>
              <w:rPr>
                <w:rFonts w:ascii="仿宋_GB2312" w:hAnsi="仿宋_GB2312" w:eastAsia="仿宋_GB2312" w:cs="仿宋_GB2312"/>
                <w:color w:val="000000"/>
                <w:sz w:val="24"/>
                <w:highlight w:val="none"/>
                <w:shd w:val="clear" w:fill="FFFFFF"/>
              </w:rPr>
              <w:t>办公室</w:t>
            </w:r>
          </w:p>
        </w:tc>
        <w:tc>
          <w:tcPr>
            <w:tcW w:w="2865" w:type="dxa"/>
            <w:tcBorders>
              <w:top w:val="nil"/>
              <w:left w:val="nil"/>
              <w:bottom w:val="single" w:color="000000" w:sz="4" w:space="0"/>
              <w:right w:val="single" w:color="000000" w:sz="4" w:space="0"/>
            </w:tcBorders>
            <w:tcMar>
              <w:top w:w="0" w:type="dxa"/>
              <w:left w:w="105" w:type="dxa"/>
              <w:bottom w:w="0" w:type="dxa"/>
              <w:right w:w="105" w:type="dxa"/>
            </w:tcMar>
            <w:vAlign w:val="top"/>
          </w:tcPr>
          <w:p w14:paraId="1AFDB9B3">
            <w:pPr>
              <w:pStyle w:val="4"/>
              <w:jc w:val="center"/>
              <w:rPr>
                <w:highlight w:val="none"/>
              </w:rPr>
            </w:pPr>
            <w:r>
              <w:rPr>
                <w:rFonts w:ascii="仿宋_GB2312" w:hAnsi="仿宋_GB2312" w:eastAsia="仿宋_GB2312" w:cs="仿宋_GB2312"/>
                <w:color w:val="000000"/>
                <w:sz w:val="24"/>
                <w:highlight w:val="none"/>
                <w:shd w:val="clear" w:fill="FFFFFF"/>
              </w:rPr>
              <w:t>打印一休机</w:t>
            </w:r>
          </w:p>
        </w:tc>
        <w:tc>
          <w:tcPr>
            <w:tcW w:w="750" w:type="dxa"/>
            <w:tcBorders>
              <w:top w:val="nil"/>
              <w:left w:val="nil"/>
              <w:bottom w:val="single" w:color="000000" w:sz="4" w:space="0"/>
              <w:right w:val="single" w:color="000000" w:sz="4" w:space="0"/>
            </w:tcBorders>
            <w:tcMar>
              <w:top w:w="0" w:type="dxa"/>
              <w:left w:w="105" w:type="dxa"/>
              <w:bottom w:w="0" w:type="dxa"/>
              <w:right w:w="105" w:type="dxa"/>
            </w:tcMar>
            <w:vAlign w:val="top"/>
          </w:tcPr>
          <w:p w14:paraId="24E5B552">
            <w:pPr>
              <w:pStyle w:val="4"/>
              <w:jc w:val="center"/>
              <w:rPr>
                <w:highlight w:val="none"/>
              </w:rPr>
            </w:pPr>
            <w:r>
              <w:rPr>
                <w:rFonts w:ascii="仿宋_GB2312" w:hAnsi="仿宋_GB2312" w:eastAsia="仿宋_GB2312" w:cs="仿宋_GB2312"/>
                <w:color w:val="000000"/>
                <w:sz w:val="24"/>
                <w:highlight w:val="none"/>
                <w:shd w:val="clear" w:fill="FFFFFF"/>
              </w:rPr>
              <w:t>2</w:t>
            </w:r>
          </w:p>
        </w:tc>
        <w:tc>
          <w:tcPr>
            <w:tcW w:w="1020" w:type="dxa"/>
            <w:tcBorders>
              <w:top w:val="nil"/>
              <w:left w:val="nil"/>
              <w:bottom w:val="single" w:color="000000" w:sz="4" w:space="0"/>
              <w:right w:val="single" w:color="000000" w:sz="4" w:space="0"/>
            </w:tcBorders>
            <w:tcMar>
              <w:top w:w="0" w:type="dxa"/>
              <w:left w:w="105" w:type="dxa"/>
              <w:bottom w:w="0" w:type="dxa"/>
              <w:right w:w="105" w:type="dxa"/>
            </w:tcMar>
            <w:vAlign w:val="top"/>
          </w:tcPr>
          <w:p w14:paraId="3FC871C4">
            <w:pPr>
              <w:pStyle w:val="4"/>
              <w:jc w:val="center"/>
              <w:rPr>
                <w:highlight w:val="none"/>
              </w:rPr>
            </w:pPr>
            <w:r>
              <w:rPr>
                <w:rFonts w:ascii="仿宋_GB2312" w:hAnsi="仿宋_GB2312" w:eastAsia="仿宋_GB2312" w:cs="仿宋_GB2312"/>
                <w:color w:val="000000"/>
                <w:sz w:val="24"/>
                <w:highlight w:val="none"/>
                <w:shd w:val="clear" w:fill="FFFFFF"/>
              </w:rPr>
              <w:t>台</w:t>
            </w:r>
          </w:p>
        </w:tc>
      </w:tr>
      <w:tr w14:paraId="51CFECC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50"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640AF50">
            <w:pPr>
              <w:pStyle w:val="4"/>
              <w:jc w:val="center"/>
              <w:rPr>
                <w:highlight w:val="none"/>
              </w:rPr>
            </w:pPr>
            <w:r>
              <w:rPr>
                <w:rFonts w:ascii="仿宋_GB2312" w:hAnsi="仿宋_GB2312" w:eastAsia="仿宋_GB2312" w:cs="仿宋_GB2312"/>
                <w:color w:val="000000"/>
                <w:sz w:val="24"/>
                <w:highlight w:val="none"/>
                <w:shd w:val="clear" w:fill="FFFFFF"/>
              </w:rPr>
              <w:t>7</w:t>
            </w:r>
          </w:p>
        </w:tc>
        <w:tc>
          <w:tcPr>
            <w:tcW w:w="1545" w:type="dxa"/>
            <w:tcBorders>
              <w:top w:val="nil"/>
              <w:left w:val="nil"/>
              <w:bottom w:val="single" w:color="000000" w:sz="4" w:space="0"/>
              <w:right w:val="single" w:color="000000" w:sz="4" w:space="0"/>
            </w:tcBorders>
            <w:tcMar>
              <w:top w:w="0" w:type="dxa"/>
              <w:left w:w="105" w:type="dxa"/>
              <w:bottom w:w="0" w:type="dxa"/>
              <w:right w:w="105" w:type="dxa"/>
            </w:tcMar>
            <w:vAlign w:val="top"/>
          </w:tcPr>
          <w:p w14:paraId="634EBB55">
            <w:pPr>
              <w:pStyle w:val="4"/>
              <w:jc w:val="center"/>
              <w:rPr>
                <w:highlight w:val="none"/>
              </w:rPr>
            </w:pPr>
            <w:r>
              <w:rPr>
                <w:rFonts w:ascii="仿宋_GB2312" w:hAnsi="仿宋_GB2312" w:eastAsia="仿宋_GB2312" w:cs="仿宋_GB2312"/>
                <w:color w:val="000000"/>
                <w:sz w:val="24"/>
                <w:highlight w:val="none"/>
                <w:shd w:val="clear" w:fill="FFFFFF"/>
              </w:rPr>
              <w:t>办公室</w:t>
            </w:r>
          </w:p>
        </w:tc>
        <w:tc>
          <w:tcPr>
            <w:tcW w:w="2865" w:type="dxa"/>
            <w:tcBorders>
              <w:top w:val="nil"/>
              <w:left w:val="nil"/>
              <w:bottom w:val="single" w:color="000000" w:sz="4" w:space="0"/>
              <w:right w:val="single" w:color="000000" w:sz="4" w:space="0"/>
            </w:tcBorders>
            <w:tcMar>
              <w:top w:w="0" w:type="dxa"/>
              <w:left w:w="105" w:type="dxa"/>
              <w:bottom w:w="0" w:type="dxa"/>
              <w:right w:w="105" w:type="dxa"/>
            </w:tcMar>
            <w:vAlign w:val="top"/>
          </w:tcPr>
          <w:p w14:paraId="52E8D19E">
            <w:pPr>
              <w:pStyle w:val="4"/>
              <w:jc w:val="center"/>
              <w:rPr>
                <w:highlight w:val="none"/>
              </w:rPr>
            </w:pPr>
            <w:r>
              <w:rPr>
                <w:rFonts w:ascii="仿宋_GB2312" w:hAnsi="仿宋_GB2312" w:eastAsia="仿宋_GB2312" w:cs="仿宋_GB2312"/>
                <w:color w:val="000000"/>
                <w:sz w:val="24"/>
                <w:highlight w:val="none"/>
                <w:shd w:val="clear" w:fill="FFFFFF"/>
              </w:rPr>
              <w:t>文件柜</w:t>
            </w:r>
          </w:p>
        </w:tc>
        <w:tc>
          <w:tcPr>
            <w:tcW w:w="750" w:type="dxa"/>
            <w:tcBorders>
              <w:top w:val="nil"/>
              <w:left w:val="nil"/>
              <w:bottom w:val="single" w:color="000000" w:sz="4" w:space="0"/>
              <w:right w:val="single" w:color="000000" w:sz="4" w:space="0"/>
            </w:tcBorders>
            <w:tcMar>
              <w:top w:w="0" w:type="dxa"/>
              <w:left w:w="105" w:type="dxa"/>
              <w:bottom w:w="0" w:type="dxa"/>
              <w:right w:w="105" w:type="dxa"/>
            </w:tcMar>
            <w:vAlign w:val="top"/>
          </w:tcPr>
          <w:p w14:paraId="24354C45">
            <w:pPr>
              <w:pStyle w:val="4"/>
              <w:jc w:val="center"/>
              <w:rPr>
                <w:highlight w:val="none"/>
              </w:rPr>
            </w:pPr>
            <w:r>
              <w:rPr>
                <w:rFonts w:ascii="仿宋_GB2312" w:hAnsi="仿宋_GB2312" w:eastAsia="仿宋_GB2312" w:cs="仿宋_GB2312"/>
                <w:color w:val="000000"/>
                <w:sz w:val="24"/>
                <w:highlight w:val="none"/>
                <w:shd w:val="clear" w:fill="FFFFFF"/>
              </w:rPr>
              <w:t>3</w:t>
            </w:r>
          </w:p>
        </w:tc>
        <w:tc>
          <w:tcPr>
            <w:tcW w:w="1020" w:type="dxa"/>
            <w:tcBorders>
              <w:top w:val="nil"/>
              <w:left w:val="nil"/>
              <w:bottom w:val="single" w:color="000000" w:sz="4" w:space="0"/>
              <w:right w:val="single" w:color="000000" w:sz="4" w:space="0"/>
            </w:tcBorders>
            <w:tcMar>
              <w:top w:w="0" w:type="dxa"/>
              <w:left w:w="105" w:type="dxa"/>
              <w:bottom w:w="0" w:type="dxa"/>
              <w:right w:w="105" w:type="dxa"/>
            </w:tcMar>
            <w:vAlign w:val="top"/>
          </w:tcPr>
          <w:p w14:paraId="3B140063">
            <w:pPr>
              <w:pStyle w:val="4"/>
              <w:jc w:val="center"/>
              <w:rPr>
                <w:highlight w:val="none"/>
              </w:rPr>
            </w:pPr>
            <w:r>
              <w:rPr>
                <w:rFonts w:ascii="仿宋_GB2312" w:hAnsi="仿宋_GB2312" w:eastAsia="仿宋_GB2312" w:cs="仿宋_GB2312"/>
                <w:color w:val="000000"/>
                <w:sz w:val="24"/>
                <w:highlight w:val="none"/>
                <w:shd w:val="clear" w:fill="FFFFFF"/>
              </w:rPr>
              <w:t>个</w:t>
            </w:r>
          </w:p>
        </w:tc>
      </w:tr>
      <w:tr w14:paraId="2A63DC5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50"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177A6C6">
            <w:pPr>
              <w:pStyle w:val="4"/>
              <w:jc w:val="center"/>
              <w:rPr>
                <w:highlight w:val="none"/>
              </w:rPr>
            </w:pPr>
            <w:r>
              <w:rPr>
                <w:rFonts w:ascii="仿宋_GB2312" w:hAnsi="仿宋_GB2312" w:eastAsia="仿宋_GB2312" w:cs="仿宋_GB2312"/>
                <w:color w:val="000000"/>
                <w:sz w:val="24"/>
                <w:highlight w:val="none"/>
                <w:shd w:val="clear" w:fill="FFFFFF"/>
              </w:rPr>
              <w:t>8</w:t>
            </w:r>
          </w:p>
        </w:tc>
        <w:tc>
          <w:tcPr>
            <w:tcW w:w="1545" w:type="dxa"/>
            <w:tcBorders>
              <w:top w:val="nil"/>
              <w:left w:val="nil"/>
              <w:bottom w:val="single" w:color="000000" w:sz="4" w:space="0"/>
              <w:right w:val="single" w:color="000000" w:sz="4" w:space="0"/>
            </w:tcBorders>
            <w:tcMar>
              <w:top w:w="0" w:type="dxa"/>
              <w:left w:w="105" w:type="dxa"/>
              <w:bottom w:w="0" w:type="dxa"/>
              <w:right w:w="105" w:type="dxa"/>
            </w:tcMar>
            <w:vAlign w:val="top"/>
          </w:tcPr>
          <w:p w14:paraId="5F08D826">
            <w:pPr>
              <w:pStyle w:val="4"/>
              <w:jc w:val="center"/>
              <w:rPr>
                <w:highlight w:val="none"/>
              </w:rPr>
            </w:pPr>
            <w:r>
              <w:rPr>
                <w:rFonts w:ascii="仿宋_GB2312" w:hAnsi="仿宋_GB2312" w:eastAsia="仿宋_GB2312" w:cs="仿宋_GB2312"/>
                <w:color w:val="000000"/>
                <w:sz w:val="24"/>
                <w:highlight w:val="none"/>
                <w:shd w:val="clear" w:fill="FFFFFF"/>
              </w:rPr>
              <w:t>办公室</w:t>
            </w:r>
          </w:p>
        </w:tc>
        <w:tc>
          <w:tcPr>
            <w:tcW w:w="2865" w:type="dxa"/>
            <w:tcBorders>
              <w:top w:val="nil"/>
              <w:left w:val="nil"/>
              <w:bottom w:val="single" w:color="000000" w:sz="4" w:space="0"/>
              <w:right w:val="single" w:color="000000" w:sz="4" w:space="0"/>
            </w:tcBorders>
            <w:tcMar>
              <w:top w:w="0" w:type="dxa"/>
              <w:left w:w="105" w:type="dxa"/>
              <w:bottom w:w="0" w:type="dxa"/>
              <w:right w:w="105" w:type="dxa"/>
            </w:tcMar>
            <w:vAlign w:val="top"/>
          </w:tcPr>
          <w:p w14:paraId="42C08DAA">
            <w:pPr>
              <w:pStyle w:val="4"/>
              <w:jc w:val="center"/>
              <w:rPr>
                <w:highlight w:val="none"/>
              </w:rPr>
            </w:pPr>
            <w:r>
              <w:rPr>
                <w:rFonts w:ascii="仿宋_GB2312" w:hAnsi="仿宋_GB2312" w:eastAsia="仿宋_GB2312" w:cs="仿宋_GB2312"/>
                <w:color w:val="000000"/>
                <w:sz w:val="24"/>
                <w:highlight w:val="none"/>
                <w:shd w:val="clear" w:fill="FFFFFF"/>
              </w:rPr>
              <w:t>办公卡座</w:t>
            </w:r>
          </w:p>
        </w:tc>
        <w:tc>
          <w:tcPr>
            <w:tcW w:w="750" w:type="dxa"/>
            <w:tcBorders>
              <w:top w:val="nil"/>
              <w:left w:val="nil"/>
              <w:bottom w:val="single" w:color="000000" w:sz="4" w:space="0"/>
              <w:right w:val="single" w:color="000000" w:sz="4" w:space="0"/>
            </w:tcBorders>
            <w:tcMar>
              <w:top w:w="0" w:type="dxa"/>
              <w:left w:w="105" w:type="dxa"/>
              <w:bottom w:w="0" w:type="dxa"/>
              <w:right w:w="105" w:type="dxa"/>
            </w:tcMar>
            <w:vAlign w:val="top"/>
          </w:tcPr>
          <w:p w14:paraId="0E580E12">
            <w:pPr>
              <w:pStyle w:val="4"/>
              <w:jc w:val="center"/>
              <w:rPr>
                <w:highlight w:val="none"/>
              </w:rPr>
            </w:pPr>
            <w:r>
              <w:rPr>
                <w:rFonts w:ascii="仿宋_GB2312" w:hAnsi="仿宋_GB2312" w:eastAsia="仿宋_GB2312" w:cs="仿宋_GB2312"/>
                <w:color w:val="000000"/>
                <w:sz w:val="24"/>
                <w:highlight w:val="none"/>
                <w:shd w:val="clear" w:fill="FFFFFF"/>
              </w:rPr>
              <w:t>5</w:t>
            </w:r>
          </w:p>
        </w:tc>
        <w:tc>
          <w:tcPr>
            <w:tcW w:w="1020" w:type="dxa"/>
            <w:tcBorders>
              <w:top w:val="nil"/>
              <w:left w:val="nil"/>
              <w:bottom w:val="single" w:color="000000" w:sz="4" w:space="0"/>
              <w:right w:val="single" w:color="000000" w:sz="4" w:space="0"/>
            </w:tcBorders>
            <w:tcMar>
              <w:top w:w="0" w:type="dxa"/>
              <w:left w:w="105" w:type="dxa"/>
              <w:bottom w:w="0" w:type="dxa"/>
              <w:right w:w="105" w:type="dxa"/>
            </w:tcMar>
            <w:vAlign w:val="top"/>
          </w:tcPr>
          <w:p w14:paraId="1C9D18F4">
            <w:pPr>
              <w:pStyle w:val="4"/>
              <w:jc w:val="center"/>
              <w:rPr>
                <w:highlight w:val="none"/>
              </w:rPr>
            </w:pPr>
            <w:r>
              <w:rPr>
                <w:rFonts w:ascii="仿宋_GB2312" w:hAnsi="仿宋_GB2312" w:eastAsia="仿宋_GB2312" w:cs="仿宋_GB2312"/>
                <w:color w:val="000000"/>
                <w:sz w:val="24"/>
                <w:highlight w:val="none"/>
                <w:shd w:val="clear" w:fill="FFFFFF"/>
              </w:rPr>
              <w:t>套</w:t>
            </w:r>
          </w:p>
        </w:tc>
      </w:tr>
      <w:tr w14:paraId="6090DB7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50"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69C776F9">
            <w:pPr>
              <w:pStyle w:val="4"/>
              <w:jc w:val="center"/>
              <w:rPr>
                <w:highlight w:val="none"/>
              </w:rPr>
            </w:pPr>
            <w:r>
              <w:rPr>
                <w:rFonts w:ascii="仿宋_GB2312" w:hAnsi="仿宋_GB2312" w:eastAsia="仿宋_GB2312" w:cs="仿宋_GB2312"/>
                <w:color w:val="000000"/>
                <w:sz w:val="24"/>
                <w:highlight w:val="none"/>
                <w:shd w:val="clear" w:fill="FFFFFF"/>
              </w:rPr>
              <w:t>9</w:t>
            </w:r>
          </w:p>
        </w:tc>
        <w:tc>
          <w:tcPr>
            <w:tcW w:w="1545" w:type="dxa"/>
            <w:tcBorders>
              <w:top w:val="nil"/>
              <w:left w:val="nil"/>
              <w:bottom w:val="single" w:color="000000" w:sz="4" w:space="0"/>
              <w:right w:val="single" w:color="000000" w:sz="4" w:space="0"/>
            </w:tcBorders>
            <w:tcMar>
              <w:top w:w="0" w:type="dxa"/>
              <w:left w:w="105" w:type="dxa"/>
              <w:bottom w:w="0" w:type="dxa"/>
              <w:right w:w="105" w:type="dxa"/>
            </w:tcMar>
            <w:vAlign w:val="top"/>
          </w:tcPr>
          <w:p w14:paraId="281E7115">
            <w:pPr>
              <w:pStyle w:val="4"/>
              <w:jc w:val="center"/>
              <w:rPr>
                <w:highlight w:val="none"/>
              </w:rPr>
            </w:pPr>
            <w:r>
              <w:rPr>
                <w:rFonts w:ascii="仿宋_GB2312" w:hAnsi="仿宋_GB2312" w:eastAsia="仿宋_GB2312" w:cs="仿宋_GB2312"/>
                <w:color w:val="000000"/>
                <w:sz w:val="24"/>
                <w:highlight w:val="none"/>
                <w:shd w:val="clear" w:fill="FFFFFF"/>
              </w:rPr>
              <w:t>办公室</w:t>
            </w:r>
          </w:p>
        </w:tc>
        <w:tc>
          <w:tcPr>
            <w:tcW w:w="2865" w:type="dxa"/>
            <w:tcBorders>
              <w:top w:val="nil"/>
              <w:left w:val="nil"/>
              <w:bottom w:val="single" w:color="000000" w:sz="4" w:space="0"/>
              <w:right w:val="single" w:color="000000" w:sz="4" w:space="0"/>
            </w:tcBorders>
            <w:tcMar>
              <w:top w:w="0" w:type="dxa"/>
              <w:left w:w="105" w:type="dxa"/>
              <w:bottom w:w="0" w:type="dxa"/>
              <w:right w:w="105" w:type="dxa"/>
            </w:tcMar>
            <w:vAlign w:val="top"/>
          </w:tcPr>
          <w:p w14:paraId="38D55496">
            <w:pPr>
              <w:pStyle w:val="4"/>
              <w:jc w:val="center"/>
              <w:rPr>
                <w:highlight w:val="none"/>
              </w:rPr>
            </w:pPr>
            <w:r>
              <w:rPr>
                <w:rFonts w:ascii="仿宋_GB2312" w:hAnsi="仿宋_GB2312" w:eastAsia="仿宋_GB2312" w:cs="仿宋_GB2312"/>
                <w:color w:val="000000"/>
                <w:sz w:val="24"/>
                <w:highlight w:val="none"/>
                <w:shd w:val="clear" w:fill="FFFFFF"/>
              </w:rPr>
              <w:t>前台长桌</w:t>
            </w:r>
          </w:p>
        </w:tc>
        <w:tc>
          <w:tcPr>
            <w:tcW w:w="750" w:type="dxa"/>
            <w:tcBorders>
              <w:top w:val="nil"/>
              <w:left w:val="nil"/>
              <w:bottom w:val="single" w:color="000000" w:sz="4" w:space="0"/>
              <w:right w:val="single" w:color="000000" w:sz="4" w:space="0"/>
            </w:tcBorders>
            <w:tcMar>
              <w:top w:w="0" w:type="dxa"/>
              <w:left w:w="105" w:type="dxa"/>
              <w:bottom w:w="0" w:type="dxa"/>
              <w:right w:w="105" w:type="dxa"/>
            </w:tcMar>
            <w:vAlign w:val="top"/>
          </w:tcPr>
          <w:p w14:paraId="5209C151">
            <w:pPr>
              <w:pStyle w:val="4"/>
              <w:jc w:val="center"/>
              <w:rPr>
                <w:highlight w:val="none"/>
              </w:rPr>
            </w:pPr>
            <w:r>
              <w:rPr>
                <w:rFonts w:ascii="仿宋_GB2312" w:hAnsi="仿宋_GB2312" w:eastAsia="仿宋_GB2312" w:cs="仿宋_GB2312"/>
                <w:color w:val="000000"/>
                <w:sz w:val="24"/>
                <w:highlight w:val="none"/>
                <w:shd w:val="clear" w:fill="FFFFFF"/>
              </w:rPr>
              <w:t>1</w:t>
            </w:r>
          </w:p>
        </w:tc>
        <w:tc>
          <w:tcPr>
            <w:tcW w:w="1020" w:type="dxa"/>
            <w:tcBorders>
              <w:top w:val="nil"/>
              <w:left w:val="nil"/>
              <w:bottom w:val="single" w:color="000000" w:sz="4" w:space="0"/>
              <w:right w:val="single" w:color="000000" w:sz="4" w:space="0"/>
            </w:tcBorders>
            <w:tcMar>
              <w:top w:w="0" w:type="dxa"/>
              <w:left w:w="105" w:type="dxa"/>
              <w:bottom w:w="0" w:type="dxa"/>
              <w:right w:w="105" w:type="dxa"/>
            </w:tcMar>
            <w:vAlign w:val="top"/>
          </w:tcPr>
          <w:p w14:paraId="712343A6">
            <w:pPr>
              <w:pStyle w:val="4"/>
              <w:jc w:val="center"/>
              <w:rPr>
                <w:highlight w:val="none"/>
              </w:rPr>
            </w:pPr>
            <w:r>
              <w:rPr>
                <w:rFonts w:ascii="仿宋_GB2312" w:hAnsi="仿宋_GB2312" w:eastAsia="仿宋_GB2312" w:cs="仿宋_GB2312"/>
                <w:color w:val="000000"/>
                <w:sz w:val="24"/>
                <w:highlight w:val="none"/>
                <w:shd w:val="clear" w:fill="FFFFFF"/>
              </w:rPr>
              <w:t>张</w:t>
            </w:r>
          </w:p>
        </w:tc>
      </w:tr>
      <w:tr w14:paraId="51DFAF3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50"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6B5AB4A2">
            <w:pPr>
              <w:pStyle w:val="4"/>
              <w:jc w:val="center"/>
              <w:rPr>
                <w:highlight w:val="none"/>
              </w:rPr>
            </w:pPr>
            <w:r>
              <w:rPr>
                <w:rFonts w:ascii="仿宋_GB2312" w:hAnsi="仿宋_GB2312" w:eastAsia="仿宋_GB2312" w:cs="仿宋_GB2312"/>
                <w:color w:val="000000"/>
                <w:sz w:val="24"/>
                <w:highlight w:val="none"/>
                <w:shd w:val="clear" w:fill="FFFFFF"/>
              </w:rPr>
              <w:t>10</w:t>
            </w:r>
          </w:p>
        </w:tc>
        <w:tc>
          <w:tcPr>
            <w:tcW w:w="1545" w:type="dxa"/>
            <w:tcBorders>
              <w:top w:val="nil"/>
              <w:left w:val="nil"/>
              <w:bottom w:val="single" w:color="000000" w:sz="4" w:space="0"/>
              <w:right w:val="single" w:color="000000" w:sz="4" w:space="0"/>
            </w:tcBorders>
            <w:tcMar>
              <w:top w:w="0" w:type="dxa"/>
              <w:left w:w="105" w:type="dxa"/>
              <w:bottom w:w="0" w:type="dxa"/>
              <w:right w:w="105" w:type="dxa"/>
            </w:tcMar>
            <w:vAlign w:val="top"/>
          </w:tcPr>
          <w:p w14:paraId="263CB6FA">
            <w:pPr>
              <w:pStyle w:val="4"/>
              <w:jc w:val="center"/>
              <w:rPr>
                <w:highlight w:val="none"/>
              </w:rPr>
            </w:pPr>
            <w:r>
              <w:rPr>
                <w:rFonts w:ascii="仿宋_GB2312" w:hAnsi="仿宋_GB2312" w:eastAsia="仿宋_GB2312" w:cs="仿宋_GB2312"/>
                <w:color w:val="000000"/>
                <w:sz w:val="24"/>
                <w:highlight w:val="none"/>
                <w:shd w:val="clear" w:fill="FFFFFF"/>
              </w:rPr>
              <w:t>办公室</w:t>
            </w:r>
          </w:p>
        </w:tc>
        <w:tc>
          <w:tcPr>
            <w:tcW w:w="2865" w:type="dxa"/>
            <w:tcBorders>
              <w:top w:val="nil"/>
              <w:left w:val="nil"/>
              <w:bottom w:val="single" w:color="000000" w:sz="4" w:space="0"/>
              <w:right w:val="single" w:color="000000" w:sz="4" w:space="0"/>
            </w:tcBorders>
            <w:tcMar>
              <w:top w:w="0" w:type="dxa"/>
              <w:left w:w="105" w:type="dxa"/>
              <w:bottom w:w="0" w:type="dxa"/>
              <w:right w:w="105" w:type="dxa"/>
            </w:tcMar>
            <w:vAlign w:val="top"/>
          </w:tcPr>
          <w:p w14:paraId="0A8877C9">
            <w:pPr>
              <w:pStyle w:val="4"/>
              <w:jc w:val="center"/>
              <w:rPr>
                <w:highlight w:val="none"/>
              </w:rPr>
            </w:pPr>
            <w:r>
              <w:rPr>
                <w:rFonts w:ascii="仿宋_GB2312" w:hAnsi="仿宋_GB2312" w:eastAsia="仿宋_GB2312" w:cs="仿宋_GB2312"/>
                <w:color w:val="000000"/>
                <w:sz w:val="24"/>
                <w:highlight w:val="none"/>
                <w:shd w:val="clear" w:fill="FFFFFF"/>
              </w:rPr>
              <w:t>木制单人靠背沙发</w:t>
            </w:r>
          </w:p>
        </w:tc>
        <w:tc>
          <w:tcPr>
            <w:tcW w:w="750" w:type="dxa"/>
            <w:tcBorders>
              <w:top w:val="nil"/>
              <w:left w:val="nil"/>
              <w:bottom w:val="single" w:color="000000" w:sz="4" w:space="0"/>
              <w:right w:val="single" w:color="000000" w:sz="4" w:space="0"/>
            </w:tcBorders>
            <w:tcMar>
              <w:top w:w="0" w:type="dxa"/>
              <w:left w:w="105" w:type="dxa"/>
              <w:bottom w:w="0" w:type="dxa"/>
              <w:right w:w="105" w:type="dxa"/>
            </w:tcMar>
            <w:vAlign w:val="top"/>
          </w:tcPr>
          <w:p w14:paraId="59B917BB">
            <w:pPr>
              <w:pStyle w:val="4"/>
              <w:jc w:val="center"/>
              <w:rPr>
                <w:highlight w:val="none"/>
              </w:rPr>
            </w:pPr>
            <w:r>
              <w:rPr>
                <w:rFonts w:ascii="仿宋_GB2312" w:hAnsi="仿宋_GB2312" w:eastAsia="仿宋_GB2312" w:cs="仿宋_GB2312"/>
                <w:color w:val="000000"/>
                <w:sz w:val="24"/>
                <w:highlight w:val="none"/>
                <w:shd w:val="clear" w:fill="FFFFFF"/>
              </w:rPr>
              <w:t>2</w:t>
            </w:r>
          </w:p>
        </w:tc>
        <w:tc>
          <w:tcPr>
            <w:tcW w:w="1020" w:type="dxa"/>
            <w:tcBorders>
              <w:top w:val="nil"/>
              <w:left w:val="nil"/>
              <w:bottom w:val="single" w:color="000000" w:sz="4" w:space="0"/>
              <w:right w:val="single" w:color="000000" w:sz="4" w:space="0"/>
            </w:tcBorders>
            <w:tcMar>
              <w:top w:w="0" w:type="dxa"/>
              <w:left w:w="105" w:type="dxa"/>
              <w:bottom w:w="0" w:type="dxa"/>
              <w:right w:w="105" w:type="dxa"/>
            </w:tcMar>
            <w:vAlign w:val="top"/>
          </w:tcPr>
          <w:p w14:paraId="5610CFB8">
            <w:pPr>
              <w:pStyle w:val="4"/>
              <w:jc w:val="center"/>
              <w:rPr>
                <w:highlight w:val="none"/>
              </w:rPr>
            </w:pPr>
            <w:r>
              <w:rPr>
                <w:rFonts w:ascii="仿宋_GB2312" w:hAnsi="仿宋_GB2312" w:eastAsia="仿宋_GB2312" w:cs="仿宋_GB2312"/>
                <w:color w:val="000000"/>
                <w:sz w:val="24"/>
                <w:highlight w:val="none"/>
                <w:shd w:val="clear" w:fill="FFFFFF"/>
              </w:rPr>
              <w:t>张</w:t>
            </w:r>
          </w:p>
        </w:tc>
      </w:tr>
      <w:tr w14:paraId="0155609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50"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1A55507">
            <w:pPr>
              <w:pStyle w:val="4"/>
              <w:jc w:val="center"/>
              <w:rPr>
                <w:highlight w:val="none"/>
              </w:rPr>
            </w:pPr>
            <w:r>
              <w:rPr>
                <w:rFonts w:ascii="仿宋_GB2312" w:hAnsi="仿宋_GB2312" w:eastAsia="仿宋_GB2312" w:cs="仿宋_GB2312"/>
                <w:color w:val="000000"/>
                <w:sz w:val="24"/>
                <w:highlight w:val="none"/>
                <w:shd w:val="clear" w:fill="FFFFFF"/>
              </w:rPr>
              <w:t>11</w:t>
            </w:r>
          </w:p>
        </w:tc>
        <w:tc>
          <w:tcPr>
            <w:tcW w:w="1545" w:type="dxa"/>
            <w:tcBorders>
              <w:top w:val="nil"/>
              <w:left w:val="nil"/>
              <w:bottom w:val="single" w:color="000000" w:sz="4" w:space="0"/>
              <w:right w:val="single" w:color="000000" w:sz="4" w:space="0"/>
            </w:tcBorders>
            <w:tcMar>
              <w:top w:w="0" w:type="dxa"/>
              <w:left w:w="105" w:type="dxa"/>
              <w:bottom w:w="0" w:type="dxa"/>
              <w:right w:w="105" w:type="dxa"/>
            </w:tcMar>
            <w:vAlign w:val="top"/>
          </w:tcPr>
          <w:p w14:paraId="5A8179E6">
            <w:pPr>
              <w:pStyle w:val="4"/>
              <w:jc w:val="center"/>
              <w:rPr>
                <w:highlight w:val="none"/>
              </w:rPr>
            </w:pPr>
            <w:r>
              <w:rPr>
                <w:rFonts w:ascii="仿宋_GB2312" w:hAnsi="仿宋_GB2312" w:eastAsia="仿宋_GB2312" w:cs="仿宋_GB2312"/>
                <w:color w:val="000000"/>
                <w:sz w:val="24"/>
                <w:highlight w:val="none"/>
                <w:shd w:val="clear" w:fill="FFFFFF"/>
              </w:rPr>
              <w:t>办公室</w:t>
            </w:r>
          </w:p>
        </w:tc>
        <w:tc>
          <w:tcPr>
            <w:tcW w:w="2865" w:type="dxa"/>
            <w:tcBorders>
              <w:top w:val="nil"/>
              <w:left w:val="nil"/>
              <w:bottom w:val="single" w:color="000000" w:sz="4" w:space="0"/>
              <w:right w:val="single" w:color="000000" w:sz="4" w:space="0"/>
            </w:tcBorders>
            <w:tcMar>
              <w:top w:w="0" w:type="dxa"/>
              <w:left w:w="105" w:type="dxa"/>
              <w:bottom w:w="0" w:type="dxa"/>
              <w:right w:w="105" w:type="dxa"/>
            </w:tcMar>
            <w:vAlign w:val="top"/>
          </w:tcPr>
          <w:p w14:paraId="606B331D">
            <w:pPr>
              <w:pStyle w:val="4"/>
              <w:jc w:val="center"/>
              <w:rPr>
                <w:highlight w:val="none"/>
              </w:rPr>
            </w:pPr>
            <w:r>
              <w:rPr>
                <w:rFonts w:ascii="仿宋_GB2312" w:hAnsi="仿宋_GB2312" w:eastAsia="仿宋_GB2312" w:cs="仿宋_GB2312"/>
                <w:color w:val="000000"/>
                <w:sz w:val="24"/>
                <w:highlight w:val="none"/>
                <w:shd w:val="clear" w:fill="FFFFFF"/>
              </w:rPr>
              <w:t>茶机</w:t>
            </w:r>
          </w:p>
        </w:tc>
        <w:tc>
          <w:tcPr>
            <w:tcW w:w="750" w:type="dxa"/>
            <w:tcBorders>
              <w:top w:val="nil"/>
              <w:left w:val="nil"/>
              <w:bottom w:val="single" w:color="000000" w:sz="4" w:space="0"/>
              <w:right w:val="single" w:color="000000" w:sz="4" w:space="0"/>
            </w:tcBorders>
            <w:tcMar>
              <w:top w:w="0" w:type="dxa"/>
              <w:left w:w="105" w:type="dxa"/>
              <w:bottom w:w="0" w:type="dxa"/>
              <w:right w:w="105" w:type="dxa"/>
            </w:tcMar>
            <w:vAlign w:val="top"/>
          </w:tcPr>
          <w:p w14:paraId="2B621FED">
            <w:pPr>
              <w:pStyle w:val="4"/>
              <w:jc w:val="center"/>
              <w:rPr>
                <w:highlight w:val="none"/>
              </w:rPr>
            </w:pPr>
            <w:r>
              <w:rPr>
                <w:rFonts w:ascii="仿宋_GB2312" w:hAnsi="仿宋_GB2312" w:eastAsia="仿宋_GB2312" w:cs="仿宋_GB2312"/>
                <w:color w:val="000000"/>
                <w:sz w:val="24"/>
                <w:highlight w:val="none"/>
                <w:shd w:val="clear" w:fill="FFFFFF"/>
              </w:rPr>
              <w:t>1</w:t>
            </w:r>
          </w:p>
        </w:tc>
        <w:tc>
          <w:tcPr>
            <w:tcW w:w="1020" w:type="dxa"/>
            <w:tcBorders>
              <w:top w:val="nil"/>
              <w:left w:val="nil"/>
              <w:bottom w:val="single" w:color="000000" w:sz="4" w:space="0"/>
              <w:right w:val="single" w:color="000000" w:sz="4" w:space="0"/>
            </w:tcBorders>
            <w:tcMar>
              <w:top w:w="0" w:type="dxa"/>
              <w:left w:w="105" w:type="dxa"/>
              <w:bottom w:w="0" w:type="dxa"/>
              <w:right w:w="105" w:type="dxa"/>
            </w:tcMar>
            <w:vAlign w:val="top"/>
          </w:tcPr>
          <w:p w14:paraId="5CE50D3B">
            <w:pPr>
              <w:pStyle w:val="4"/>
              <w:jc w:val="center"/>
              <w:rPr>
                <w:highlight w:val="none"/>
              </w:rPr>
            </w:pPr>
            <w:r>
              <w:rPr>
                <w:rFonts w:ascii="仿宋_GB2312" w:hAnsi="仿宋_GB2312" w:eastAsia="仿宋_GB2312" w:cs="仿宋_GB2312"/>
                <w:color w:val="000000"/>
                <w:sz w:val="24"/>
                <w:highlight w:val="none"/>
                <w:shd w:val="clear" w:fill="FFFFFF"/>
              </w:rPr>
              <w:t>张</w:t>
            </w:r>
          </w:p>
        </w:tc>
      </w:tr>
      <w:tr w14:paraId="1D9F457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50"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5C889B6">
            <w:pPr>
              <w:pStyle w:val="4"/>
              <w:jc w:val="center"/>
              <w:rPr>
                <w:highlight w:val="none"/>
              </w:rPr>
            </w:pPr>
            <w:r>
              <w:rPr>
                <w:rFonts w:ascii="仿宋_GB2312" w:hAnsi="仿宋_GB2312" w:eastAsia="仿宋_GB2312" w:cs="仿宋_GB2312"/>
                <w:color w:val="000000"/>
                <w:sz w:val="24"/>
                <w:highlight w:val="none"/>
                <w:shd w:val="clear" w:fill="FFFFFF"/>
              </w:rPr>
              <w:t>12</w:t>
            </w:r>
          </w:p>
        </w:tc>
        <w:tc>
          <w:tcPr>
            <w:tcW w:w="1545" w:type="dxa"/>
            <w:tcBorders>
              <w:top w:val="nil"/>
              <w:left w:val="nil"/>
              <w:bottom w:val="single" w:color="000000" w:sz="4" w:space="0"/>
              <w:right w:val="single" w:color="000000" w:sz="4" w:space="0"/>
            </w:tcBorders>
            <w:tcMar>
              <w:top w:w="0" w:type="dxa"/>
              <w:left w:w="105" w:type="dxa"/>
              <w:bottom w:w="0" w:type="dxa"/>
              <w:right w:w="105" w:type="dxa"/>
            </w:tcMar>
            <w:vAlign w:val="top"/>
          </w:tcPr>
          <w:p w14:paraId="04B5AB04">
            <w:pPr>
              <w:pStyle w:val="4"/>
              <w:jc w:val="center"/>
              <w:rPr>
                <w:highlight w:val="none"/>
              </w:rPr>
            </w:pPr>
            <w:r>
              <w:rPr>
                <w:rFonts w:ascii="仿宋_GB2312" w:hAnsi="仿宋_GB2312" w:eastAsia="仿宋_GB2312" w:cs="仿宋_GB2312"/>
                <w:color w:val="000000"/>
                <w:sz w:val="24"/>
                <w:highlight w:val="none"/>
                <w:shd w:val="clear" w:fill="FFFFFF"/>
              </w:rPr>
              <w:t>办公室</w:t>
            </w:r>
          </w:p>
        </w:tc>
        <w:tc>
          <w:tcPr>
            <w:tcW w:w="2865" w:type="dxa"/>
            <w:tcBorders>
              <w:top w:val="nil"/>
              <w:left w:val="nil"/>
              <w:bottom w:val="single" w:color="000000" w:sz="4" w:space="0"/>
              <w:right w:val="single" w:color="000000" w:sz="4" w:space="0"/>
            </w:tcBorders>
            <w:tcMar>
              <w:top w:w="0" w:type="dxa"/>
              <w:left w:w="105" w:type="dxa"/>
              <w:bottom w:w="0" w:type="dxa"/>
              <w:right w:w="105" w:type="dxa"/>
            </w:tcMar>
            <w:vAlign w:val="top"/>
          </w:tcPr>
          <w:p w14:paraId="51E62DC3">
            <w:pPr>
              <w:pStyle w:val="4"/>
              <w:jc w:val="center"/>
              <w:rPr>
                <w:highlight w:val="none"/>
              </w:rPr>
            </w:pPr>
            <w:r>
              <w:rPr>
                <w:rFonts w:ascii="仿宋_GB2312" w:hAnsi="仿宋_GB2312" w:eastAsia="仿宋_GB2312" w:cs="仿宋_GB2312"/>
                <w:color w:val="000000"/>
                <w:sz w:val="24"/>
                <w:highlight w:val="none"/>
                <w:shd w:val="clear" w:fill="FFFFFF"/>
              </w:rPr>
              <w:t>办公椅</w:t>
            </w:r>
          </w:p>
        </w:tc>
        <w:tc>
          <w:tcPr>
            <w:tcW w:w="750" w:type="dxa"/>
            <w:tcBorders>
              <w:top w:val="nil"/>
              <w:left w:val="nil"/>
              <w:bottom w:val="single" w:color="000000" w:sz="4" w:space="0"/>
              <w:right w:val="single" w:color="000000" w:sz="4" w:space="0"/>
            </w:tcBorders>
            <w:tcMar>
              <w:top w:w="0" w:type="dxa"/>
              <w:left w:w="105" w:type="dxa"/>
              <w:bottom w:w="0" w:type="dxa"/>
              <w:right w:w="105" w:type="dxa"/>
            </w:tcMar>
            <w:vAlign w:val="top"/>
          </w:tcPr>
          <w:p w14:paraId="0BE25C39">
            <w:pPr>
              <w:pStyle w:val="4"/>
              <w:jc w:val="center"/>
              <w:rPr>
                <w:highlight w:val="none"/>
              </w:rPr>
            </w:pPr>
            <w:r>
              <w:rPr>
                <w:rFonts w:ascii="仿宋_GB2312" w:hAnsi="仿宋_GB2312" w:eastAsia="仿宋_GB2312" w:cs="仿宋_GB2312"/>
                <w:color w:val="000000"/>
                <w:sz w:val="24"/>
                <w:highlight w:val="none"/>
                <w:shd w:val="clear" w:fill="FFFFFF"/>
              </w:rPr>
              <w:t>10</w:t>
            </w:r>
          </w:p>
        </w:tc>
        <w:tc>
          <w:tcPr>
            <w:tcW w:w="1020" w:type="dxa"/>
            <w:tcBorders>
              <w:top w:val="nil"/>
              <w:left w:val="nil"/>
              <w:bottom w:val="single" w:color="000000" w:sz="4" w:space="0"/>
              <w:right w:val="single" w:color="000000" w:sz="4" w:space="0"/>
            </w:tcBorders>
            <w:tcMar>
              <w:top w:w="0" w:type="dxa"/>
              <w:left w:w="105" w:type="dxa"/>
              <w:bottom w:w="0" w:type="dxa"/>
              <w:right w:w="105" w:type="dxa"/>
            </w:tcMar>
            <w:vAlign w:val="top"/>
          </w:tcPr>
          <w:p w14:paraId="5D997201">
            <w:pPr>
              <w:pStyle w:val="4"/>
              <w:jc w:val="center"/>
              <w:rPr>
                <w:highlight w:val="none"/>
              </w:rPr>
            </w:pPr>
            <w:r>
              <w:rPr>
                <w:rFonts w:ascii="仿宋_GB2312" w:hAnsi="仿宋_GB2312" w:eastAsia="仿宋_GB2312" w:cs="仿宋_GB2312"/>
                <w:color w:val="000000"/>
                <w:sz w:val="24"/>
                <w:highlight w:val="none"/>
                <w:shd w:val="clear" w:fill="FFFFFF"/>
              </w:rPr>
              <w:t>张</w:t>
            </w:r>
          </w:p>
        </w:tc>
      </w:tr>
      <w:tr w14:paraId="4FFBD80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50"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6A4FBC72">
            <w:pPr>
              <w:pStyle w:val="4"/>
              <w:jc w:val="center"/>
              <w:rPr>
                <w:highlight w:val="none"/>
              </w:rPr>
            </w:pPr>
            <w:r>
              <w:rPr>
                <w:rFonts w:ascii="仿宋_GB2312" w:hAnsi="仿宋_GB2312" w:eastAsia="仿宋_GB2312" w:cs="仿宋_GB2312"/>
                <w:color w:val="000000"/>
                <w:sz w:val="24"/>
                <w:highlight w:val="none"/>
                <w:shd w:val="clear" w:fill="FFFFFF"/>
              </w:rPr>
              <w:t>13</w:t>
            </w:r>
          </w:p>
        </w:tc>
        <w:tc>
          <w:tcPr>
            <w:tcW w:w="1545" w:type="dxa"/>
            <w:tcBorders>
              <w:top w:val="nil"/>
              <w:left w:val="nil"/>
              <w:bottom w:val="single" w:color="000000" w:sz="4" w:space="0"/>
              <w:right w:val="single" w:color="000000" w:sz="4" w:space="0"/>
            </w:tcBorders>
            <w:tcMar>
              <w:top w:w="0" w:type="dxa"/>
              <w:left w:w="105" w:type="dxa"/>
              <w:bottom w:w="0" w:type="dxa"/>
              <w:right w:w="105" w:type="dxa"/>
            </w:tcMar>
            <w:vAlign w:val="top"/>
          </w:tcPr>
          <w:p w14:paraId="58A78268">
            <w:pPr>
              <w:pStyle w:val="4"/>
              <w:jc w:val="center"/>
              <w:rPr>
                <w:highlight w:val="none"/>
              </w:rPr>
            </w:pPr>
            <w:r>
              <w:rPr>
                <w:rFonts w:ascii="仿宋_GB2312" w:hAnsi="仿宋_GB2312" w:eastAsia="仿宋_GB2312" w:cs="仿宋_GB2312"/>
                <w:color w:val="000000"/>
                <w:sz w:val="24"/>
                <w:highlight w:val="none"/>
                <w:shd w:val="clear" w:fill="FFFFFF"/>
              </w:rPr>
              <w:t>办公室</w:t>
            </w:r>
          </w:p>
        </w:tc>
        <w:tc>
          <w:tcPr>
            <w:tcW w:w="2865" w:type="dxa"/>
            <w:tcBorders>
              <w:top w:val="nil"/>
              <w:left w:val="nil"/>
              <w:bottom w:val="single" w:color="000000" w:sz="4" w:space="0"/>
              <w:right w:val="single" w:color="000000" w:sz="4" w:space="0"/>
            </w:tcBorders>
            <w:tcMar>
              <w:top w:w="0" w:type="dxa"/>
              <w:left w:w="105" w:type="dxa"/>
              <w:bottom w:w="0" w:type="dxa"/>
              <w:right w:w="105" w:type="dxa"/>
            </w:tcMar>
            <w:vAlign w:val="top"/>
          </w:tcPr>
          <w:p w14:paraId="0A042EA6">
            <w:pPr>
              <w:pStyle w:val="4"/>
              <w:jc w:val="center"/>
              <w:rPr>
                <w:highlight w:val="none"/>
              </w:rPr>
            </w:pPr>
            <w:r>
              <w:rPr>
                <w:rFonts w:ascii="仿宋_GB2312" w:hAnsi="仿宋_GB2312" w:eastAsia="仿宋_GB2312" w:cs="仿宋_GB2312"/>
                <w:color w:val="000000"/>
                <w:sz w:val="24"/>
                <w:highlight w:val="none"/>
                <w:shd w:val="clear" w:fill="FFFFFF"/>
              </w:rPr>
              <w:t>办公桌边柜</w:t>
            </w:r>
          </w:p>
        </w:tc>
        <w:tc>
          <w:tcPr>
            <w:tcW w:w="750" w:type="dxa"/>
            <w:tcBorders>
              <w:top w:val="nil"/>
              <w:left w:val="nil"/>
              <w:bottom w:val="single" w:color="000000" w:sz="4" w:space="0"/>
              <w:right w:val="single" w:color="000000" w:sz="4" w:space="0"/>
            </w:tcBorders>
            <w:tcMar>
              <w:top w:w="0" w:type="dxa"/>
              <w:left w:w="105" w:type="dxa"/>
              <w:bottom w:w="0" w:type="dxa"/>
              <w:right w:w="105" w:type="dxa"/>
            </w:tcMar>
            <w:vAlign w:val="top"/>
          </w:tcPr>
          <w:p w14:paraId="456AC51F">
            <w:pPr>
              <w:pStyle w:val="4"/>
              <w:jc w:val="center"/>
              <w:rPr>
                <w:highlight w:val="none"/>
              </w:rPr>
            </w:pPr>
            <w:r>
              <w:rPr>
                <w:rFonts w:ascii="仿宋_GB2312" w:hAnsi="仿宋_GB2312" w:eastAsia="仿宋_GB2312" w:cs="仿宋_GB2312"/>
                <w:color w:val="000000"/>
                <w:sz w:val="24"/>
                <w:highlight w:val="none"/>
                <w:shd w:val="clear" w:fill="FFFFFF"/>
              </w:rPr>
              <w:t>14</w:t>
            </w:r>
          </w:p>
        </w:tc>
        <w:tc>
          <w:tcPr>
            <w:tcW w:w="1020" w:type="dxa"/>
            <w:tcBorders>
              <w:top w:val="nil"/>
              <w:left w:val="nil"/>
              <w:bottom w:val="single" w:color="000000" w:sz="4" w:space="0"/>
              <w:right w:val="single" w:color="000000" w:sz="4" w:space="0"/>
            </w:tcBorders>
            <w:tcMar>
              <w:top w:w="0" w:type="dxa"/>
              <w:left w:w="105" w:type="dxa"/>
              <w:bottom w:w="0" w:type="dxa"/>
              <w:right w:w="105" w:type="dxa"/>
            </w:tcMar>
            <w:vAlign w:val="top"/>
          </w:tcPr>
          <w:p w14:paraId="53D7ECFD">
            <w:pPr>
              <w:pStyle w:val="4"/>
              <w:jc w:val="center"/>
              <w:rPr>
                <w:highlight w:val="none"/>
              </w:rPr>
            </w:pPr>
            <w:r>
              <w:rPr>
                <w:rFonts w:ascii="仿宋_GB2312" w:hAnsi="仿宋_GB2312" w:eastAsia="仿宋_GB2312" w:cs="仿宋_GB2312"/>
                <w:color w:val="000000"/>
                <w:sz w:val="24"/>
                <w:highlight w:val="none"/>
                <w:shd w:val="clear" w:fill="FFFFFF"/>
              </w:rPr>
              <w:t>张</w:t>
            </w:r>
          </w:p>
        </w:tc>
      </w:tr>
      <w:tr w14:paraId="41C8706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50"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46246050">
            <w:pPr>
              <w:pStyle w:val="4"/>
              <w:jc w:val="center"/>
              <w:rPr>
                <w:highlight w:val="none"/>
              </w:rPr>
            </w:pPr>
            <w:r>
              <w:rPr>
                <w:rFonts w:ascii="仿宋_GB2312" w:hAnsi="仿宋_GB2312" w:eastAsia="仿宋_GB2312" w:cs="仿宋_GB2312"/>
                <w:color w:val="000000"/>
                <w:sz w:val="24"/>
                <w:highlight w:val="none"/>
                <w:shd w:val="clear" w:fill="FFFFFF"/>
              </w:rPr>
              <w:t>14</w:t>
            </w:r>
          </w:p>
        </w:tc>
        <w:tc>
          <w:tcPr>
            <w:tcW w:w="1545" w:type="dxa"/>
            <w:tcBorders>
              <w:top w:val="nil"/>
              <w:left w:val="nil"/>
              <w:bottom w:val="single" w:color="000000" w:sz="4" w:space="0"/>
              <w:right w:val="single" w:color="000000" w:sz="4" w:space="0"/>
            </w:tcBorders>
            <w:tcMar>
              <w:top w:w="0" w:type="dxa"/>
              <w:left w:w="105" w:type="dxa"/>
              <w:bottom w:w="0" w:type="dxa"/>
              <w:right w:w="105" w:type="dxa"/>
            </w:tcMar>
            <w:vAlign w:val="top"/>
          </w:tcPr>
          <w:p w14:paraId="67282FF1">
            <w:pPr>
              <w:pStyle w:val="4"/>
              <w:jc w:val="center"/>
              <w:rPr>
                <w:highlight w:val="none"/>
              </w:rPr>
            </w:pPr>
            <w:r>
              <w:rPr>
                <w:rFonts w:ascii="仿宋_GB2312" w:hAnsi="仿宋_GB2312" w:eastAsia="仿宋_GB2312" w:cs="仿宋_GB2312"/>
                <w:color w:val="000000"/>
                <w:sz w:val="24"/>
                <w:highlight w:val="none"/>
                <w:shd w:val="clear" w:fill="FFFFFF"/>
              </w:rPr>
              <w:t>办公室</w:t>
            </w:r>
          </w:p>
        </w:tc>
        <w:tc>
          <w:tcPr>
            <w:tcW w:w="2865" w:type="dxa"/>
            <w:tcBorders>
              <w:top w:val="nil"/>
              <w:left w:val="nil"/>
              <w:bottom w:val="single" w:color="000000" w:sz="4" w:space="0"/>
              <w:right w:val="single" w:color="000000" w:sz="4" w:space="0"/>
            </w:tcBorders>
            <w:tcMar>
              <w:top w:w="0" w:type="dxa"/>
              <w:left w:w="105" w:type="dxa"/>
              <w:bottom w:w="0" w:type="dxa"/>
              <w:right w:w="105" w:type="dxa"/>
            </w:tcMar>
            <w:vAlign w:val="top"/>
          </w:tcPr>
          <w:p w14:paraId="4D6150B5">
            <w:pPr>
              <w:pStyle w:val="4"/>
              <w:jc w:val="center"/>
              <w:rPr>
                <w:highlight w:val="none"/>
              </w:rPr>
            </w:pPr>
            <w:r>
              <w:rPr>
                <w:rFonts w:ascii="仿宋_GB2312" w:hAnsi="仿宋_GB2312" w:eastAsia="仿宋_GB2312" w:cs="仿宋_GB2312"/>
                <w:color w:val="000000"/>
                <w:sz w:val="24"/>
                <w:highlight w:val="none"/>
                <w:shd w:val="clear" w:fill="FFFFFF"/>
              </w:rPr>
              <w:t>空调</w:t>
            </w:r>
          </w:p>
        </w:tc>
        <w:tc>
          <w:tcPr>
            <w:tcW w:w="750" w:type="dxa"/>
            <w:tcBorders>
              <w:top w:val="nil"/>
              <w:left w:val="nil"/>
              <w:bottom w:val="single" w:color="000000" w:sz="4" w:space="0"/>
              <w:right w:val="single" w:color="000000" w:sz="4" w:space="0"/>
            </w:tcBorders>
            <w:tcMar>
              <w:top w:w="0" w:type="dxa"/>
              <w:left w:w="105" w:type="dxa"/>
              <w:bottom w:w="0" w:type="dxa"/>
              <w:right w:w="105" w:type="dxa"/>
            </w:tcMar>
            <w:vAlign w:val="top"/>
          </w:tcPr>
          <w:p w14:paraId="09451C74">
            <w:pPr>
              <w:pStyle w:val="4"/>
              <w:jc w:val="center"/>
              <w:rPr>
                <w:highlight w:val="none"/>
              </w:rPr>
            </w:pPr>
            <w:r>
              <w:rPr>
                <w:rFonts w:ascii="仿宋_GB2312" w:hAnsi="仿宋_GB2312" w:eastAsia="仿宋_GB2312" w:cs="仿宋_GB2312"/>
                <w:color w:val="000000"/>
                <w:sz w:val="24"/>
                <w:highlight w:val="none"/>
                <w:shd w:val="clear" w:fill="FFFFFF"/>
              </w:rPr>
              <w:t>1</w:t>
            </w:r>
          </w:p>
        </w:tc>
        <w:tc>
          <w:tcPr>
            <w:tcW w:w="1020" w:type="dxa"/>
            <w:tcBorders>
              <w:top w:val="nil"/>
              <w:left w:val="nil"/>
              <w:bottom w:val="single" w:color="000000" w:sz="4" w:space="0"/>
              <w:right w:val="single" w:color="000000" w:sz="4" w:space="0"/>
            </w:tcBorders>
            <w:tcMar>
              <w:top w:w="0" w:type="dxa"/>
              <w:left w:w="105" w:type="dxa"/>
              <w:bottom w:w="0" w:type="dxa"/>
              <w:right w:w="105" w:type="dxa"/>
            </w:tcMar>
            <w:vAlign w:val="top"/>
          </w:tcPr>
          <w:p w14:paraId="605860FE">
            <w:pPr>
              <w:pStyle w:val="4"/>
              <w:jc w:val="center"/>
              <w:rPr>
                <w:highlight w:val="none"/>
              </w:rPr>
            </w:pPr>
            <w:r>
              <w:rPr>
                <w:rFonts w:ascii="仿宋_GB2312" w:hAnsi="仿宋_GB2312" w:eastAsia="仿宋_GB2312" w:cs="仿宋_GB2312"/>
                <w:color w:val="000000"/>
                <w:sz w:val="24"/>
                <w:highlight w:val="none"/>
                <w:shd w:val="clear" w:fill="FFFFFF"/>
              </w:rPr>
              <w:t>部</w:t>
            </w:r>
          </w:p>
        </w:tc>
      </w:tr>
      <w:tr w14:paraId="2CA7CCA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50"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D6F5CD8">
            <w:pPr>
              <w:pStyle w:val="4"/>
              <w:jc w:val="center"/>
              <w:rPr>
                <w:highlight w:val="none"/>
              </w:rPr>
            </w:pPr>
            <w:r>
              <w:rPr>
                <w:rFonts w:ascii="仿宋_GB2312" w:hAnsi="仿宋_GB2312" w:eastAsia="仿宋_GB2312" w:cs="仿宋_GB2312"/>
                <w:color w:val="000000"/>
                <w:sz w:val="24"/>
                <w:highlight w:val="none"/>
                <w:shd w:val="clear" w:fill="FFFFFF"/>
              </w:rPr>
              <w:t>15</w:t>
            </w:r>
          </w:p>
        </w:tc>
        <w:tc>
          <w:tcPr>
            <w:tcW w:w="1545" w:type="dxa"/>
            <w:tcBorders>
              <w:top w:val="nil"/>
              <w:left w:val="nil"/>
              <w:bottom w:val="single" w:color="000000" w:sz="4" w:space="0"/>
              <w:right w:val="single" w:color="000000" w:sz="4" w:space="0"/>
            </w:tcBorders>
            <w:tcMar>
              <w:top w:w="0" w:type="dxa"/>
              <w:left w:w="105" w:type="dxa"/>
              <w:bottom w:w="0" w:type="dxa"/>
              <w:right w:w="105" w:type="dxa"/>
            </w:tcMar>
            <w:vAlign w:val="top"/>
          </w:tcPr>
          <w:p w14:paraId="0EDEF93F">
            <w:pPr>
              <w:pStyle w:val="4"/>
              <w:jc w:val="center"/>
              <w:rPr>
                <w:highlight w:val="none"/>
              </w:rPr>
            </w:pPr>
            <w:r>
              <w:rPr>
                <w:rFonts w:ascii="仿宋_GB2312" w:hAnsi="仿宋_GB2312" w:eastAsia="仿宋_GB2312" w:cs="仿宋_GB2312"/>
                <w:color w:val="000000"/>
                <w:sz w:val="24"/>
                <w:highlight w:val="none"/>
                <w:shd w:val="clear" w:fill="FFFFFF"/>
              </w:rPr>
              <w:t>福道园保洁</w:t>
            </w:r>
          </w:p>
        </w:tc>
        <w:tc>
          <w:tcPr>
            <w:tcW w:w="2865" w:type="dxa"/>
            <w:tcBorders>
              <w:top w:val="nil"/>
              <w:left w:val="nil"/>
              <w:bottom w:val="single" w:color="000000" w:sz="4" w:space="0"/>
              <w:right w:val="single" w:color="000000" w:sz="4" w:space="0"/>
            </w:tcBorders>
            <w:tcMar>
              <w:top w:w="0" w:type="dxa"/>
              <w:left w:w="105" w:type="dxa"/>
              <w:bottom w:w="0" w:type="dxa"/>
              <w:right w:w="105" w:type="dxa"/>
            </w:tcMar>
            <w:vAlign w:val="top"/>
          </w:tcPr>
          <w:p w14:paraId="2DAFB777">
            <w:pPr>
              <w:pStyle w:val="4"/>
              <w:jc w:val="center"/>
              <w:rPr>
                <w:highlight w:val="none"/>
              </w:rPr>
            </w:pPr>
            <w:r>
              <w:rPr>
                <w:rFonts w:ascii="仿宋_GB2312" w:hAnsi="仿宋_GB2312" w:eastAsia="仿宋_GB2312" w:cs="仿宋_GB2312"/>
                <w:color w:val="000000"/>
                <w:sz w:val="24"/>
                <w:highlight w:val="none"/>
                <w:shd w:val="clear" w:fill="FFFFFF"/>
              </w:rPr>
              <w:t>驾驶式室外扫地车</w:t>
            </w:r>
          </w:p>
        </w:tc>
        <w:tc>
          <w:tcPr>
            <w:tcW w:w="750" w:type="dxa"/>
            <w:tcBorders>
              <w:top w:val="nil"/>
              <w:left w:val="nil"/>
              <w:bottom w:val="single" w:color="000000" w:sz="4" w:space="0"/>
              <w:right w:val="single" w:color="000000" w:sz="4" w:space="0"/>
            </w:tcBorders>
            <w:tcMar>
              <w:top w:w="0" w:type="dxa"/>
              <w:left w:w="105" w:type="dxa"/>
              <w:bottom w:w="0" w:type="dxa"/>
              <w:right w:w="105" w:type="dxa"/>
            </w:tcMar>
            <w:vAlign w:val="top"/>
          </w:tcPr>
          <w:p w14:paraId="32D2EE8C">
            <w:pPr>
              <w:pStyle w:val="4"/>
              <w:jc w:val="center"/>
              <w:rPr>
                <w:highlight w:val="none"/>
              </w:rPr>
            </w:pPr>
            <w:r>
              <w:rPr>
                <w:rFonts w:ascii="仿宋_GB2312" w:hAnsi="仿宋_GB2312" w:eastAsia="仿宋_GB2312" w:cs="仿宋_GB2312"/>
                <w:color w:val="000000"/>
                <w:sz w:val="24"/>
                <w:highlight w:val="none"/>
                <w:shd w:val="clear" w:fill="FFFFFF"/>
              </w:rPr>
              <w:t>1</w:t>
            </w:r>
          </w:p>
        </w:tc>
        <w:tc>
          <w:tcPr>
            <w:tcW w:w="1020" w:type="dxa"/>
            <w:tcBorders>
              <w:top w:val="nil"/>
              <w:left w:val="nil"/>
              <w:bottom w:val="single" w:color="000000" w:sz="4" w:space="0"/>
              <w:right w:val="single" w:color="000000" w:sz="4" w:space="0"/>
            </w:tcBorders>
            <w:tcMar>
              <w:top w:w="0" w:type="dxa"/>
              <w:left w:w="105" w:type="dxa"/>
              <w:bottom w:w="0" w:type="dxa"/>
              <w:right w:w="105" w:type="dxa"/>
            </w:tcMar>
            <w:vAlign w:val="top"/>
          </w:tcPr>
          <w:p w14:paraId="48338306">
            <w:pPr>
              <w:pStyle w:val="4"/>
              <w:jc w:val="center"/>
              <w:rPr>
                <w:highlight w:val="none"/>
              </w:rPr>
            </w:pPr>
            <w:r>
              <w:rPr>
                <w:rFonts w:ascii="仿宋_GB2312" w:hAnsi="仿宋_GB2312" w:eastAsia="仿宋_GB2312" w:cs="仿宋_GB2312"/>
                <w:color w:val="000000"/>
                <w:sz w:val="24"/>
                <w:highlight w:val="none"/>
                <w:shd w:val="clear" w:fill="FFFFFF"/>
              </w:rPr>
              <w:t>部</w:t>
            </w:r>
          </w:p>
        </w:tc>
      </w:tr>
      <w:tr w14:paraId="77E480C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50"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1D5EAED">
            <w:pPr>
              <w:pStyle w:val="4"/>
              <w:jc w:val="center"/>
              <w:rPr>
                <w:highlight w:val="none"/>
              </w:rPr>
            </w:pPr>
            <w:r>
              <w:rPr>
                <w:rFonts w:ascii="仿宋_GB2312" w:hAnsi="仿宋_GB2312" w:eastAsia="仿宋_GB2312" w:cs="仿宋_GB2312"/>
                <w:color w:val="000000"/>
                <w:sz w:val="24"/>
                <w:highlight w:val="none"/>
                <w:shd w:val="clear" w:fill="FFFFFF"/>
              </w:rPr>
              <w:t>16</w:t>
            </w:r>
          </w:p>
        </w:tc>
        <w:tc>
          <w:tcPr>
            <w:tcW w:w="1545" w:type="dxa"/>
            <w:tcBorders>
              <w:top w:val="nil"/>
              <w:left w:val="nil"/>
              <w:bottom w:val="single" w:color="000000" w:sz="4" w:space="0"/>
              <w:right w:val="single" w:color="000000" w:sz="4" w:space="0"/>
            </w:tcBorders>
            <w:tcMar>
              <w:top w:w="0" w:type="dxa"/>
              <w:left w:w="105" w:type="dxa"/>
              <w:bottom w:w="0" w:type="dxa"/>
              <w:right w:w="105" w:type="dxa"/>
            </w:tcMar>
            <w:vAlign w:val="top"/>
          </w:tcPr>
          <w:p w14:paraId="1C3C5C43">
            <w:pPr>
              <w:pStyle w:val="4"/>
              <w:jc w:val="center"/>
              <w:rPr>
                <w:highlight w:val="none"/>
              </w:rPr>
            </w:pPr>
            <w:r>
              <w:rPr>
                <w:rFonts w:ascii="仿宋_GB2312" w:hAnsi="仿宋_GB2312" w:eastAsia="仿宋_GB2312" w:cs="仿宋_GB2312"/>
                <w:color w:val="000000"/>
                <w:sz w:val="24"/>
                <w:highlight w:val="none"/>
                <w:shd w:val="clear" w:fill="FFFFFF"/>
              </w:rPr>
              <w:t>福道园保洁</w:t>
            </w:r>
          </w:p>
        </w:tc>
        <w:tc>
          <w:tcPr>
            <w:tcW w:w="2865" w:type="dxa"/>
            <w:tcBorders>
              <w:top w:val="nil"/>
              <w:left w:val="nil"/>
              <w:bottom w:val="single" w:color="000000" w:sz="4" w:space="0"/>
              <w:right w:val="single" w:color="000000" w:sz="4" w:space="0"/>
            </w:tcBorders>
            <w:tcMar>
              <w:top w:w="0" w:type="dxa"/>
              <w:left w:w="105" w:type="dxa"/>
              <w:bottom w:w="0" w:type="dxa"/>
              <w:right w:w="105" w:type="dxa"/>
            </w:tcMar>
            <w:vAlign w:val="top"/>
          </w:tcPr>
          <w:p w14:paraId="30EA4D80">
            <w:pPr>
              <w:pStyle w:val="4"/>
              <w:jc w:val="center"/>
              <w:rPr>
                <w:highlight w:val="none"/>
              </w:rPr>
            </w:pPr>
            <w:r>
              <w:rPr>
                <w:rFonts w:ascii="仿宋_GB2312" w:hAnsi="仿宋_GB2312" w:eastAsia="仿宋_GB2312" w:cs="仿宋_GB2312"/>
                <w:color w:val="000000"/>
                <w:sz w:val="24"/>
                <w:highlight w:val="none"/>
                <w:shd w:val="clear" w:fill="FFFFFF"/>
              </w:rPr>
              <w:t>手推走式洗拖车</w:t>
            </w:r>
          </w:p>
        </w:tc>
        <w:tc>
          <w:tcPr>
            <w:tcW w:w="750" w:type="dxa"/>
            <w:tcBorders>
              <w:top w:val="nil"/>
              <w:left w:val="nil"/>
              <w:bottom w:val="single" w:color="000000" w:sz="4" w:space="0"/>
              <w:right w:val="single" w:color="000000" w:sz="4" w:space="0"/>
            </w:tcBorders>
            <w:tcMar>
              <w:top w:w="0" w:type="dxa"/>
              <w:left w:w="105" w:type="dxa"/>
              <w:bottom w:w="0" w:type="dxa"/>
              <w:right w:w="105" w:type="dxa"/>
            </w:tcMar>
            <w:vAlign w:val="top"/>
          </w:tcPr>
          <w:p w14:paraId="520684EF">
            <w:pPr>
              <w:pStyle w:val="4"/>
              <w:jc w:val="center"/>
              <w:rPr>
                <w:highlight w:val="none"/>
              </w:rPr>
            </w:pPr>
            <w:r>
              <w:rPr>
                <w:rFonts w:ascii="仿宋_GB2312" w:hAnsi="仿宋_GB2312" w:eastAsia="仿宋_GB2312" w:cs="仿宋_GB2312"/>
                <w:color w:val="000000"/>
                <w:sz w:val="24"/>
                <w:highlight w:val="none"/>
                <w:shd w:val="clear" w:fill="FFFFFF"/>
              </w:rPr>
              <w:t>1</w:t>
            </w:r>
          </w:p>
        </w:tc>
        <w:tc>
          <w:tcPr>
            <w:tcW w:w="1020" w:type="dxa"/>
            <w:tcBorders>
              <w:top w:val="nil"/>
              <w:left w:val="nil"/>
              <w:bottom w:val="single" w:color="000000" w:sz="4" w:space="0"/>
              <w:right w:val="single" w:color="000000" w:sz="4" w:space="0"/>
            </w:tcBorders>
            <w:tcMar>
              <w:top w:w="0" w:type="dxa"/>
              <w:left w:w="105" w:type="dxa"/>
              <w:bottom w:w="0" w:type="dxa"/>
              <w:right w:w="105" w:type="dxa"/>
            </w:tcMar>
            <w:vAlign w:val="top"/>
          </w:tcPr>
          <w:p w14:paraId="1288EE48">
            <w:pPr>
              <w:pStyle w:val="4"/>
              <w:jc w:val="center"/>
              <w:rPr>
                <w:highlight w:val="none"/>
              </w:rPr>
            </w:pPr>
            <w:r>
              <w:rPr>
                <w:rFonts w:ascii="仿宋_GB2312" w:hAnsi="仿宋_GB2312" w:eastAsia="仿宋_GB2312" w:cs="仿宋_GB2312"/>
                <w:color w:val="000000"/>
                <w:sz w:val="24"/>
                <w:highlight w:val="none"/>
                <w:shd w:val="clear" w:fill="FFFFFF"/>
              </w:rPr>
              <w:t>部</w:t>
            </w:r>
          </w:p>
        </w:tc>
      </w:tr>
      <w:tr w14:paraId="7237767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50"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28F4D29">
            <w:pPr>
              <w:pStyle w:val="4"/>
              <w:jc w:val="center"/>
              <w:rPr>
                <w:highlight w:val="none"/>
              </w:rPr>
            </w:pPr>
            <w:r>
              <w:rPr>
                <w:rFonts w:ascii="仿宋_GB2312" w:hAnsi="仿宋_GB2312" w:eastAsia="仿宋_GB2312" w:cs="仿宋_GB2312"/>
                <w:color w:val="000000"/>
                <w:sz w:val="24"/>
                <w:highlight w:val="none"/>
                <w:shd w:val="clear" w:fill="FFFFFF"/>
              </w:rPr>
              <w:t>17</w:t>
            </w:r>
          </w:p>
        </w:tc>
        <w:tc>
          <w:tcPr>
            <w:tcW w:w="1545" w:type="dxa"/>
            <w:tcBorders>
              <w:top w:val="nil"/>
              <w:left w:val="nil"/>
              <w:bottom w:val="single" w:color="000000" w:sz="4" w:space="0"/>
              <w:right w:val="single" w:color="000000" w:sz="4" w:space="0"/>
            </w:tcBorders>
            <w:tcMar>
              <w:top w:w="0" w:type="dxa"/>
              <w:left w:w="105" w:type="dxa"/>
              <w:bottom w:w="0" w:type="dxa"/>
              <w:right w:w="105" w:type="dxa"/>
            </w:tcMar>
            <w:vAlign w:val="top"/>
          </w:tcPr>
          <w:p w14:paraId="35C82755">
            <w:pPr>
              <w:pStyle w:val="4"/>
              <w:jc w:val="center"/>
              <w:rPr>
                <w:highlight w:val="none"/>
              </w:rPr>
            </w:pPr>
            <w:r>
              <w:rPr>
                <w:rFonts w:ascii="仿宋_GB2312" w:hAnsi="仿宋_GB2312" w:eastAsia="仿宋_GB2312" w:cs="仿宋_GB2312"/>
                <w:color w:val="000000"/>
                <w:sz w:val="24"/>
                <w:highlight w:val="none"/>
                <w:shd w:val="clear" w:fill="FFFFFF"/>
              </w:rPr>
              <w:t>福道园保洁</w:t>
            </w:r>
          </w:p>
        </w:tc>
        <w:tc>
          <w:tcPr>
            <w:tcW w:w="2865" w:type="dxa"/>
            <w:tcBorders>
              <w:top w:val="nil"/>
              <w:left w:val="nil"/>
              <w:bottom w:val="single" w:color="000000" w:sz="4" w:space="0"/>
              <w:right w:val="single" w:color="000000" w:sz="4" w:space="0"/>
            </w:tcBorders>
            <w:tcMar>
              <w:top w:w="0" w:type="dxa"/>
              <w:left w:w="105" w:type="dxa"/>
              <w:bottom w:w="0" w:type="dxa"/>
              <w:right w:w="105" w:type="dxa"/>
            </w:tcMar>
            <w:vAlign w:val="top"/>
          </w:tcPr>
          <w:p w14:paraId="0BC0F0D0">
            <w:pPr>
              <w:pStyle w:val="4"/>
              <w:jc w:val="center"/>
              <w:rPr>
                <w:highlight w:val="none"/>
              </w:rPr>
            </w:pPr>
            <w:r>
              <w:rPr>
                <w:rFonts w:ascii="仿宋_GB2312" w:hAnsi="仿宋_GB2312" w:eastAsia="仿宋_GB2312" w:cs="仿宋_GB2312"/>
                <w:color w:val="000000"/>
                <w:sz w:val="24"/>
                <w:highlight w:val="none"/>
                <w:shd w:val="clear" w:fill="FFFFFF"/>
              </w:rPr>
              <w:t>三轮车</w:t>
            </w:r>
          </w:p>
        </w:tc>
        <w:tc>
          <w:tcPr>
            <w:tcW w:w="750" w:type="dxa"/>
            <w:tcBorders>
              <w:top w:val="nil"/>
              <w:left w:val="nil"/>
              <w:bottom w:val="single" w:color="000000" w:sz="4" w:space="0"/>
              <w:right w:val="single" w:color="000000" w:sz="4" w:space="0"/>
            </w:tcBorders>
            <w:tcMar>
              <w:top w:w="0" w:type="dxa"/>
              <w:left w:w="105" w:type="dxa"/>
              <w:bottom w:w="0" w:type="dxa"/>
              <w:right w:w="105" w:type="dxa"/>
            </w:tcMar>
            <w:vAlign w:val="top"/>
          </w:tcPr>
          <w:p w14:paraId="14BCEE15">
            <w:pPr>
              <w:pStyle w:val="4"/>
              <w:jc w:val="center"/>
              <w:rPr>
                <w:highlight w:val="none"/>
              </w:rPr>
            </w:pPr>
            <w:r>
              <w:rPr>
                <w:rFonts w:ascii="仿宋_GB2312" w:hAnsi="仿宋_GB2312" w:eastAsia="仿宋_GB2312" w:cs="仿宋_GB2312"/>
                <w:color w:val="000000"/>
                <w:sz w:val="24"/>
                <w:highlight w:val="none"/>
                <w:shd w:val="clear" w:fill="FFFFFF"/>
              </w:rPr>
              <w:t>1</w:t>
            </w:r>
          </w:p>
        </w:tc>
        <w:tc>
          <w:tcPr>
            <w:tcW w:w="1020" w:type="dxa"/>
            <w:tcBorders>
              <w:top w:val="nil"/>
              <w:left w:val="nil"/>
              <w:bottom w:val="single" w:color="000000" w:sz="4" w:space="0"/>
              <w:right w:val="single" w:color="000000" w:sz="4" w:space="0"/>
            </w:tcBorders>
            <w:tcMar>
              <w:top w:w="0" w:type="dxa"/>
              <w:left w:w="105" w:type="dxa"/>
              <w:bottom w:w="0" w:type="dxa"/>
              <w:right w:w="105" w:type="dxa"/>
            </w:tcMar>
            <w:vAlign w:val="top"/>
          </w:tcPr>
          <w:p w14:paraId="58E874F7">
            <w:pPr>
              <w:pStyle w:val="4"/>
              <w:jc w:val="center"/>
              <w:rPr>
                <w:highlight w:val="none"/>
              </w:rPr>
            </w:pPr>
            <w:r>
              <w:rPr>
                <w:rFonts w:ascii="仿宋_GB2312" w:hAnsi="仿宋_GB2312" w:eastAsia="仿宋_GB2312" w:cs="仿宋_GB2312"/>
                <w:color w:val="000000"/>
                <w:sz w:val="24"/>
                <w:highlight w:val="none"/>
                <w:shd w:val="clear" w:fill="FFFFFF"/>
              </w:rPr>
              <w:t>部</w:t>
            </w:r>
          </w:p>
        </w:tc>
      </w:tr>
      <w:tr w14:paraId="4ECB276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50"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90B28E0">
            <w:pPr>
              <w:pStyle w:val="4"/>
              <w:jc w:val="center"/>
              <w:rPr>
                <w:highlight w:val="none"/>
              </w:rPr>
            </w:pPr>
            <w:r>
              <w:rPr>
                <w:rFonts w:ascii="仿宋_GB2312" w:hAnsi="仿宋_GB2312" w:eastAsia="仿宋_GB2312" w:cs="仿宋_GB2312"/>
                <w:color w:val="000000"/>
                <w:sz w:val="24"/>
                <w:highlight w:val="none"/>
                <w:shd w:val="clear" w:fill="FFFFFF"/>
              </w:rPr>
              <w:t>18</w:t>
            </w:r>
          </w:p>
        </w:tc>
        <w:tc>
          <w:tcPr>
            <w:tcW w:w="1545" w:type="dxa"/>
            <w:tcBorders>
              <w:top w:val="nil"/>
              <w:left w:val="nil"/>
              <w:bottom w:val="single" w:color="000000" w:sz="4" w:space="0"/>
              <w:right w:val="single" w:color="000000" w:sz="4" w:space="0"/>
            </w:tcBorders>
            <w:tcMar>
              <w:top w:w="0" w:type="dxa"/>
              <w:left w:w="105" w:type="dxa"/>
              <w:bottom w:w="0" w:type="dxa"/>
              <w:right w:w="105" w:type="dxa"/>
            </w:tcMar>
            <w:vAlign w:val="top"/>
          </w:tcPr>
          <w:p w14:paraId="025AF511">
            <w:pPr>
              <w:pStyle w:val="4"/>
              <w:jc w:val="center"/>
              <w:rPr>
                <w:highlight w:val="none"/>
              </w:rPr>
            </w:pPr>
            <w:r>
              <w:rPr>
                <w:rFonts w:ascii="仿宋_GB2312" w:hAnsi="仿宋_GB2312" w:eastAsia="仿宋_GB2312" w:cs="仿宋_GB2312"/>
                <w:color w:val="000000"/>
                <w:sz w:val="24"/>
                <w:highlight w:val="none"/>
                <w:shd w:val="clear" w:fill="FFFFFF"/>
              </w:rPr>
              <w:t>福道园保洁</w:t>
            </w:r>
          </w:p>
        </w:tc>
        <w:tc>
          <w:tcPr>
            <w:tcW w:w="2865" w:type="dxa"/>
            <w:tcBorders>
              <w:top w:val="nil"/>
              <w:left w:val="nil"/>
              <w:bottom w:val="single" w:color="000000" w:sz="4" w:space="0"/>
              <w:right w:val="single" w:color="000000" w:sz="4" w:space="0"/>
            </w:tcBorders>
            <w:tcMar>
              <w:top w:w="0" w:type="dxa"/>
              <w:left w:w="105" w:type="dxa"/>
              <w:bottom w:w="0" w:type="dxa"/>
              <w:right w:w="105" w:type="dxa"/>
            </w:tcMar>
            <w:vAlign w:val="top"/>
          </w:tcPr>
          <w:p w14:paraId="642DA4CE">
            <w:pPr>
              <w:pStyle w:val="4"/>
              <w:jc w:val="center"/>
              <w:rPr>
                <w:highlight w:val="none"/>
              </w:rPr>
            </w:pPr>
            <w:r>
              <w:rPr>
                <w:rFonts w:ascii="仿宋_GB2312" w:hAnsi="仿宋_GB2312" w:eastAsia="仿宋_GB2312" w:cs="仿宋_GB2312"/>
                <w:color w:val="000000"/>
                <w:sz w:val="24"/>
                <w:highlight w:val="none"/>
                <w:shd w:val="clear" w:fill="FFFFFF"/>
              </w:rPr>
              <w:t>三轮高压冲洗车</w:t>
            </w:r>
          </w:p>
        </w:tc>
        <w:tc>
          <w:tcPr>
            <w:tcW w:w="750" w:type="dxa"/>
            <w:tcBorders>
              <w:top w:val="nil"/>
              <w:left w:val="nil"/>
              <w:bottom w:val="single" w:color="000000" w:sz="4" w:space="0"/>
              <w:right w:val="single" w:color="000000" w:sz="4" w:space="0"/>
            </w:tcBorders>
            <w:tcMar>
              <w:top w:w="0" w:type="dxa"/>
              <w:left w:w="105" w:type="dxa"/>
              <w:bottom w:w="0" w:type="dxa"/>
              <w:right w:w="105" w:type="dxa"/>
            </w:tcMar>
            <w:vAlign w:val="top"/>
          </w:tcPr>
          <w:p w14:paraId="1BC1B184">
            <w:pPr>
              <w:pStyle w:val="4"/>
              <w:jc w:val="center"/>
              <w:rPr>
                <w:highlight w:val="none"/>
              </w:rPr>
            </w:pPr>
            <w:r>
              <w:rPr>
                <w:rFonts w:ascii="仿宋_GB2312" w:hAnsi="仿宋_GB2312" w:eastAsia="仿宋_GB2312" w:cs="仿宋_GB2312"/>
                <w:color w:val="000000"/>
                <w:sz w:val="24"/>
                <w:highlight w:val="none"/>
                <w:shd w:val="clear" w:fill="FFFFFF"/>
              </w:rPr>
              <w:t>1</w:t>
            </w:r>
          </w:p>
        </w:tc>
        <w:tc>
          <w:tcPr>
            <w:tcW w:w="1020" w:type="dxa"/>
            <w:tcBorders>
              <w:top w:val="nil"/>
              <w:left w:val="nil"/>
              <w:bottom w:val="single" w:color="000000" w:sz="4" w:space="0"/>
              <w:right w:val="single" w:color="000000" w:sz="4" w:space="0"/>
            </w:tcBorders>
            <w:tcMar>
              <w:top w:w="0" w:type="dxa"/>
              <w:left w:w="105" w:type="dxa"/>
              <w:bottom w:w="0" w:type="dxa"/>
              <w:right w:w="105" w:type="dxa"/>
            </w:tcMar>
            <w:vAlign w:val="top"/>
          </w:tcPr>
          <w:p w14:paraId="6D12970B">
            <w:pPr>
              <w:pStyle w:val="4"/>
              <w:jc w:val="center"/>
              <w:rPr>
                <w:highlight w:val="none"/>
              </w:rPr>
            </w:pPr>
            <w:r>
              <w:rPr>
                <w:rFonts w:ascii="仿宋_GB2312" w:hAnsi="仿宋_GB2312" w:eastAsia="仿宋_GB2312" w:cs="仿宋_GB2312"/>
                <w:color w:val="000000"/>
                <w:sz w:val="24"/>
                <w:highlight w:val="none"/>
                <w:shd w:val="clear" w:fill="FFFFFF"/>
              </w:rPr>
              <w:t>部</w:t>
            </w:r>
          </w:p>
        </w:tc>
      </w:tr>
      <w:tr w14:paraId="2C04BE6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50"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6279A422">
            <w:pPr>
              <w:pStyle w:val="4"/>
              <w:jc w:val="center"/>
              <w:rPr>
                <w:highlight w:val="none"/>
              </w:rPr>
            </w:pPr>
            <w:r>
              <w:rPr>
                <w:rFonts w:ascii="仿宋_GB2312" w:hAnsi="仿宋_GB2312" w:eastAsia="仿宋_GB2312" w:cs="仿宋_GB2312"/>
                <w:color w:val="000000"/>
                <w:sz w:val="24"/>
                <w:highlight w:val="none"/>
                <w:shd w:val="clear" w:fill="FFFFFF"/>
              </w:rPr>
              <w:t>19</w:t>
            </w:r>
          </w:p>
        </w:tc>
        <w:tc>
          <w:tcPr>
            <w:tcW w:w="1545" w:type="dxa"/>
            <w:tcBorders>
              <w:top w:val="nil"/>
              <w:left w:val="nil"/>
              <w:bottom w:val="single" w:color="000000" w:sz="4" w:space="0"/>
              <w:right w:val="single" w:color="000000" w:sz="4" w:space="0"/>
            </w:tcBorders>
            <w:tcMar>
              <w:top w:w="0" w:type="dxa"/>
              <w:left w:w="105" w:type="dxa"/>
              <w:bottom w:w="0" w:type="dxa"/>
              <w:right w:w="105" w:type="dxa"/>
            </w:tcMar>
            <w:vAlign w:val="top"/>
          </w:tcPr>
          <w:p w14:paraId="59674F75">
            <w:pPr>
              <w:pStyle w:val="4"/>
              <w:jc w:val="center"/>
              <w:rPr>
                <w:highlight w:val="none"/>
              </w:rPr>
            </w:pPr>
            <w:r>
              <w:rPr>
                <w:rFonts w:ascii="仿宋_GB2312" w:hAnsi="仿宋_GB2312" w:eastAsia="仿宋_GB2312" w:cs="仿宋_GB2312"/>
                <w:color w:val="000000"/>
                <w:sz w:val="24"/>
                <w:highlight w:val="none"/>
                <w:shd w:val="clear" w:fill="FFFFFF"/>
              </w:rPr>
              <w:t>福道园保洁</w:t>
            </w:r>
          </w:p>
        </w:tc>
        <w:tc>
          <w:tcPr>
            <w:tcW w:w="2865" w:type="dxa"/>
            <w:tcBorders>
              <w:top w:val="nil"/>
              <w:left w:val="nil"/>
              <w:bottom w:val="single" w:color="000000" w:sz="4" w:space="0"/>
              <w:right w:val="single" w:color="000000" w:sz="4" w:space="0"/>
            </w:tcBorders>
            <w:tcMar>
              <w:top w:w="0" w:type="dxa"/>
              <w:left w:w="105" w:type="dxa"/>
              <w:bottom w:w="0" w:type="dxa"/>
              <w:right w:w="105" w:type="dxa"/>
            </w:tcMar>
            <w:vAlign w:val="top"/>
          </w:tcPr>
          <w:p w14:paraId="1B3F50C8">
            <w:pPr>
              <w:pStyle w:val="4"/>
              <w:jc w:val="center"/>
              <w:rPr>
                <w:highlight w:val="none"/>
              </w:rPr>
            </w:pPr>
            <w:r>
              <w:rPr>
                <w:rFonts w:ascii="仿宋_GB2312" w:hAnsi="仿宋_GB2312" w:eastAsia="仿宋_GB2312" w:cs="仿宋_GB2312"/>
                <w:color w:val="000000"/>
                <w:sz w:val="24"/>
                <w:highlight w:val="none"/>
                <w:shd w:val="clear" w:fill="FFFFFF"/>
              </w:rPr>
              <w:t>保洁环卫车</w:t>
            </w:r>
          </w:p>
        </w:tc>
        <w:tc>
          <w:tcPr>
            <w:tcW w:w="750" w:type="dxa"/>
            <w:tcBorders>
              <w:top w:val="nil"/>
              <w:left w:val="nil"/>
              <w:bottom w:val="single" w:color="000000" w:sz="4" w:space="0"/>
              <w:right w:val="single" w:color="000000" w:sz="4" w:space="0"/>
            </w:tcBorders>
            <w:tcMar>
              <w:top w:w="0" w:type="dxa"/>
              <w:left w:w="105" w:type="dxa"/>
              <w:bottom w:w="0" w:type="dxa"/>
              <w:right w:w="105" w:type="dxa"/>
            </w:tcMar>
            <w:vAlign w:val="top"/>
          </w:tcPr>
          <w:p w14:paraId="57C4FEC7">
            <w:pPr>
              <w:pStyle w:val="4"/>
              <w:jc w:val="center"/>
              <w:rPr>
                <w:highlight w:val="none"/>
              </w:rPr>
            </w:pPr>
            <w:r>
              <w:rPr>
                <w:rFonts w:ascii="仿宋_GB2312" w:hAnsi="仿宋_GB2312" w:eastAsia="仿宋_GB2312" w:cs="仿宋_GB2312"/>
                <w:color w:val="000000"/>
                <w:sz w:val="24"/>
                <w:highlight w:val="none"/>
                <w:shd w:val="clear" w:fill="FFFFFF"/>
              </w:rPr>
              <w:t>1</w:t>
            </w:r>
          </w:p>
        </w:tc>
        <w:tc>
          <w:tcPr>
            <w:tcW w:w="1020" w:type="dxa"/>
            <w:tcBorders>
              <w:top w:val="nil"/>
              <w:left w:val="nil"/>
              <w:bottom w:val="single" w:color="000000" w:sz="4" w:space="0"/>
              <w:right w:val="single" w:color="000000" w:sz="4" w:space="0"/>
            </w:tcBorders>
            <w:tcMar>
              <w:top w:w="0" w:type="dxa"/>
              <w:left w:w="105" w:type="dxa"/>
              <w:bottom w:w="0" w:type="dxa"/>
              <w:right w:w="105" w:type="dxa"/>
            </w:tcMar>
            <w:vAlign w:val="top"/>
          </w:tcPr>
          <w:p w14:paraId="3324043F">
            <w:pPr>
              <w:pStyle w:val="4"/>
              <w:jc w:val="center"/>
              <w:rPr>
                <w:highlight w:val="none"/>
              </w:rPr>
            </w:pPr>
            <w:r>
              <w:rPr>
                <w:rFonts w:ascii="仿宋_GB2312" w:hAnsi="仿宋_GB2312" w:eastAsia="仿宋_GB2312" w:cs="仿宋_GB2312"/>
                <w:color w:val="000000"/>
                <w:sz w:val="24"/>
                <w:highlight w:val="none"/>
                <w:shd w:val="clear" w:fill="FFFFFF"/>
              </w:rPr>
              <w:t>部</w:t>
            </w:r>
          </w:p>
        </w:tc>
      </w:tr>
      <w:tr w14:paraId="1FB475D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50"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427BBA08">
            <w:pPr>
              <w:pStyle w:val="4"/>
              <w:jc w:val="center"/>
              <w:rPr>
                <w:highlight w:val="none"/>
              </w:rPr>
            </w:pPr>
            <w:r>
              <w:rPr>
                <w:rFonts w:ascii="仿宋_GB2312" w:hAnsi="仿宋_GB2312" w:eastAsia="仿宋_GB2312" w:cs="仿宋_GB2312"/>
                <w:color w:val="000000"/>
                <w:sz w:val="24"/>
                <w:highlight w:val="none"/>
                <w:shd w:val="clear" w:fill="FFFFFF"/>
              </w:rPr>
              <w:t>20</w:t>
            </w:r>
          </w:p>
        </w:tc>
        <w:tc>
          <w:tcPr>
            <w:tcW w:w="1545" w:type="dxa"/>
            <w:tcBorders>
              <w:top w:val="nil"/>
              <w:left w:val="nil"/>
              <w:bottom w:val="single" w:color="000000" w:sz="4" w:space="0"/>
              <w:right w:val="single" w:color="000000" w:sz="4" w:space="0"/>
            </w:tcBorders>
            <w:tcMar>
              <w:top w:w="0" w:type="dxa"/>
              <w:left w:w="105" w:type="dxa"/>
              <w:bottom w:w="0" w:type="dxa"/>
              <w:right w:w="105" w:type="dxa"/>
            </w:tcMar>
            <w:vAlign w:val="top"/>
          </w:tcPr>
          <w:p w14:paraId="2EAD1707">
            <w:pPr>
              <w:pStyle w:val="4"/>
              <w:jc w:val="center"/>
              <w:rPr>
                <w:highlight w:val="none"/>
              </w:rPr>
            </w:pPr>
            <w:r>
              <w:rPr>
                <w:rFonts w:ascii="仿宋_GB2312" w:hAnsi="仿宋_GB2312" w:eastAsia="仿宋_GB2312" w:cs="仿宋_GB2312"/>
                <w:color w:val="000000"/>
                <w:sz w:val="24"/>
                <w:highlight w:val="none"/>
                <w:shd w:val="clear" w:fill="FFFFFF"/>
              </w:rPr>
              <w:t>福道园保洁</w:t>
            </w:r>
          </w:p>
        </w:tc>
        <w:tc>
          <w:tcPr>
            <w:tcW w:w="2865" w:type="dxa"/>
            <w:tcBorders>
              <w:top w:val="nil"/>
              <w:left w:val="nil"/>
              <w:bottom w:val="single" w:color="000000" w:sz="4" w:space="0"/>
              <w:right w:val="single" w:color="000000" w:sz="4" w:space="0"/>
            </w:tcBorders>
            <w:tcMar>
              <w:top w:w="0" w:type="dxa"/>
              <w:left w:w="105" w:type="dxa"/>
              <w:bottom w:w="0" w:type="dxa"/>
              <w:right w:w="105" w:type="dxa"/>
            </w:tcMar>
            <w:vAlign w:val="top"/>
          </w:tcPr>
          <w:p w14:paraId="5DEE67F8">
            <w:pPr>
              <w:pStyle w:val="4"/>
              <w:jc w:val="center"/>
              <w:rPr>
                <w:highlight w:val="none"/>
              </w:rPr>
            </w:pPr>
            <w:r>
              <w:rPr>
                <w:rFonts w:ascii="仿宋_GB2312" w:hAnsi="仿宋_GB2312" w:eastAsia="仿宋_GB2312" w:cs="仿宋_GB2312"/>
                <w:color w:val="000000"/>
                <w:sz w:val="24"/>
                <w:highlight w:val="none"/>
                <w:shd w:val="clear" w:fill="FFFFFF"/>
              </w:rPr>
              <w:t>高压冲洗机</w:t>
            </w:r>
          </w:p>
        </w:tc>
        <w:tc>
          <w:tcPr>
            <w:tcW w:w="750" w:type="dxa"/>
            <w:tcBorders>
              <w:top w:val="nil"/>
              <w:left w:val="nil"/>
              <w:bottom w:val="single" w:color="000000" w:sz="4" w:space="0"/>
              <w:right w:val="single" w:color="000000" w:sz="4" w:space="0"/>
            </w:tcBorders>
            <w:tcMar>
              <w:top w:w="0" w:type="dxa"/>
              <w:left w:w="105" w:type="dxa"/>
              <w:bottom w:w="0" w:type="dxa"/>
              <w:right w:w="105" w:type="dxa"/>
            </w:tcMar>
            <w:vAlign w:val="top"/>
          </w:tcPr>
          <w:p w14:paraId="68AC9304">
            <w:pPr>
              <w:pStyle w:val="4"/>
              <w:jc w:val="center"/>
              <w:rPr>
                <w:highlight w:val="none"/>
              </w:rPr>
            </w:pPr>
            <w:r>
              <w:rPr>
                <w:rFonts w:ascii="仿宋_GB2312" w:hAnsi="仿宋_GB2312" w:eastAsia="仿宋_GB2312" w:cs="仿宋_GB2312"/>
                <w:color w:val="000000"/>
                <w:sz w:val="24"/>
                <w:highlight w:val="none"/>
                <w:shd w:val="clear" w:fill="FFFFFF"/>
              </w:rPr>
              <w:t>1</w:t>
            </w:r>
          </w:p>
        </w:tc>
        <w:tc>
          <w:tcPr>
            <w:tcW w:w="1020" w:type="dxa"/>
            <w:tcBorders>
              <w:top w:val="nil"/>
              <w:left w:val="nil"/>
              <w:bottom w:val="single" w:color="000000" w:sz="4" w:space="0"/>
              <w:right w:val="single" w:color="000000" w:sz="4" w:space="0"/>
            </w:tcBorders>
            <w:tcMar>
              <w:top w:w="0" w:type="dxa"/>
              <w:left w:w="105" w:type="dxa"/>
              <w:bottom w:w="0" w:type="dxa"/>
              <w:right w:w="105" w:type="dxa"/>
            </w:tcMar>
            <w:vAlign w:val="top"/>
          </w:tcPr>
          <w:p w14:paraId="2CC7271E">
            <w:pPr>
              <w:pStyle w:val="4"/>
              <w:jc w:val="center"/>
              <w:rPr>
                <w:highlight w:val="none"/>
              </w:rPr>
            </w:pPr>
            <w:r>
              <w:rPr>
                <w:rFonts w:ascii="仿宋_GB2312" w:hAnsi="仿宋_GB2312" w:eastAsia="仿宋_GB2312" w:cs="仿宋_GB2312"/>
                <w:color w:val="000000"/>
                <w:sz w:val="24"/>
                <w:highlight w:val="none"/>
                <w:shd w:val="clear" w:fill="FFFFFF"/>
              </w:rPr>
              <w:t>台</w:t>
            </w:r>
          </w:p>
        </w:tc>
      </w:tr>
      <w:tr w14:paraId="5DCBA9A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50"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3E9ED6A">
            <w:pPr>
              <w:pStyle w:val="4"/>
              <w:jc w:val="center"/>
              <w:rPr>
                <w:highlight w:val="none"/>
              </w:rPr>
            </w:pPr>
            <w:r>
              <w:rPr>
                <w:rFonts w:ascii="仿宋_GB2312" w:hAnsi="仿宋_GB2312" w:eastAsia="仿宋_GB2312" w:cs="仿宋_GB2312"/>
                <w:color w:val="000000"/>
                <w:sz w:val="24"/>
                <w:highlight w:val="none"/>
                <w:shd w:val="clear" w:fill="FFFFFF"/>
              </w:rPr>
              <w:t>21</w:t>
            </w:r>
          </w:p>
        </w:tc>
        <w:tc>
          <w:tcPr>
            <w:tcW w:w="1545" w:type="dxa"/>
            <w:tcBorders>
              <w:top w:val="nil"/>
              <w:left w:val="nil"/>
              <w:bottom w:val="single" w:color="000000" w:sz="4" w:space="0"/>
              <w:right w:val="single" w:color="000000" w:sz="4" w:space="0"/>
            </w:tcBorders>
            <w:tcMar>
              <w:top w:w="0" w:type="dxa"/>
              <w:left w:w="105" w:type="dxa"/>
              <w:bottom w:w="0" w:type="dxa"/>
              <w:right w:w="105" w:type="dxa"/>
            </w:tcMar>
            <w:vAlign w:val="top"/>
          </w:tcPr>
          <w:p w14:paraId="4DFC2C79">
            <w:pPr>
              <w:pStyle w:val="4"/>
              <w:jc w:val="center"/>
              <w:rPr>
                <w:highlight w:val="none"/>
              </w:rPr>
            </w:pPr>
            <w:r>
              <w:rPr>
                <w:rFonts w:ascii="仿宋_GB2312" w:hAnsi="仿宋_GB2312" w:eastAsia="仿宋_GB2312" w:cs="仿宋_GB2312"/>
                <w:color w:val="000000"/>
                <w:sz w:val="24"/>
                <w:highlight w:val="none"/>
                <w:shd w:val="clear" w:fill="FFFFFF"/>
              </w:rPr>
              <w:t>福船园保洁</w:t>
            </w:r>
          </w:p>
        </w:tc>
        <w:tc>
          <w:tcPr>
            <w:tcW w:w="2865" w:type="dxa"/>
            <w:tcBorders>
              <w:top w:val="nil"/>
              <w:left w:val="nil"/>
              <w:bottom w:val="single" w:color="000000" w:sz="4" w:space="0"/>
              <w:right w:val="single" w:color="000000" w:sz="4" w:space="0"/>
            </w:tcBorders>
            <w:tcMar>
              <w:top w:w="0" w:type="dxa"/>
              <w:left w:w="105" w:type="dxa"/>
              <w:bottom w:w="0" w:type="dxa"/>
              <w:right w:w="105" w:type="dxa"/>
            </w:tcMar>
            <w:vAlign w:val="top"/>
          </w:tcPr>
          <w:p w14:paraId="18E4E625">
            <w:pPr>
              <w:pStyle w:val="4"/>
              <w:jc w:val="center"/>
              <w:rPr>
                <w:highlight w:val="none"/>
              </w:rPr>
            </w:pPr>
            <w:r>
              <w:rPr>
                <w:rFonts w:ascii="仿宋_GB2312" w:hAnsi="仿宋_GB2312" w:eastAsia="仿宋_GB2312" w:cs="仿宋_GB2312"/>
                <w:color w:val="000000"/>
                <w:sz w:val="24"/>
                <w:highlight w:val="none"/>
                <w:shd w:val="clear" w:fill="FFFFFF"/>
              </w:rPr>
              <w:t>驾驶式室内洗拖一休车</w:t>
            </w:r>
          </w:p>
        </w:tc>
        <w:tc>
          <w:tcPr>
            <w:tcW w:w="750" w:type="dxa"/>
            <w:tcBorders>
              <w:top w:val="nil"/>
              <w:left w:val="nil"/>
              <w:bottom w:val="single" w:color="000000" w:sz="4" w:space="0"/>
              <w:right w:val="single" w:color="000000" w:sz="4" w:space="0"/>
            </w:tcBorders>
            <w:tcMar>
              <w:top w:w="0" w:type="dxa"/>
              <w:left w:w="105" w:type="dxa"/>
              <w:bottom w:w="0" w:type="dxa"/>
              <w:right w:w="105" w:type="dxa"/>
            </w:tcMar>
            <w:vAlign w:val="top"/>
          </w:tcPr>
          <w:p w14:paraId="63F6BFFF">
            <w:pPr>
              <w:pStyle w:val="4"/>
              <w:jc w:val="center"/>
              <w:rPr>
                <w:highlight w:val="none"/>
              </w:rPr>
            </w:pPr>
            <w:r>
              <w:rPr>
                <w:rFonts w:ascii="仿宋_GB2312" w:hAnsi="仿宋_GB2312" w:eastAsia="仿宋_GB2312" w:cs="仿宋_GB2312"/>
                <w:color w:val="000000"/>
                <w:sz w:val="24"/>
                <w:highlight w:val="none"/>
                <w:shd w:val="clear" w:fill="FFFFFF"/>
              </w:rPr>
              <w:t>2</w:t>
            </w:r>
          </w:p>
        </w:tc>
        <w:tc>
          <w:tcPr>
            <w:tcW w:w="1020" w:type="dxa"/>
            <w:tcBorders>
              <w:top w:val="nil"/>
              <w:left w:val="nil"/>
              <w:bottom w:val="single" w:color="000000" w:sz="4" w:space="0"/>
              <w:right w:val="single" w:color="000000" w:sz="4" w:space="0"/>
            </w:tcBorders>
            <w:tcMar>
              <w:top w:w="0" w:type="dxa"/>
              <w:left w:w="105" w:type="dxa"/>
              <w:bottom w:w="0" w:type="dxa"/>
              <w:right w:w="105" w:type="dxa"/>
            </w:tcMar>
            <w:vAlign w:val="top"/>
          </w:tcPr>
          <w:p w14:paraId="1A3E6483">
            <w:pPr>
              <w:pStyle w:val="4"/>
              <w:jc w:val="center"/>
              <w:rPr>
                <w:highlight w:val="none"/>
              </w:rPr>
            </w:pPr>
            <w:r>
              <w:rPr>
                <w:rFonts w:ascii="仿宋_GB2312" w:hAnsi="仿宋_GB2312" w:eastAsia="仿宋_GB2312" w:cs="仿宋_GB2312"/>
                <w:color w:val="000000"/>
                <w:sz w:val="24"/>
                <w:highlight w:val="none"/>
                <w:shd w:val="clear" w:fill="FFFFFF"/>
              </w:rPr>
              <w:t>部</w:t>
            </w:r>
          </w:p>
        </w:tc>
      </w:tr>
      <w:tr w14:paraId="3753CAF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50"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0DEAE5E2">
            <w:pPr>
              <w:pStyle w:val="4"/>
              <w:jc w:val="center"/>
              <w:rPr>
                <w:highlight w:val="none"/>
              </w:rPr>
            </w:pPr>
            <w:r>
              <w:rPr>
                <w:rFonts w:ascii="仿宋_GB2312" w:hAnsi="仿宋_GB2312" w:eastAsia="仿宋_GB2312" w:cs="仿宋_GB2312"/>
                <w:color w:val="000000"/>
                <w:sz w:val="24"/>
                <w:highlight w:val="none"/>
                <w:shd w:val="clear" w:fill="FFFFFF"/>
              </w:rPr>
              <w:t>22</w:t>
            </w:r>
          </w:p>
        </w:tc>
        <w:tc>
          <w:tcPr>
            <w:tcW w:w="1545" w:type="dxa"/>
            <w:tcBorders>
              <w:top w:val="nil"/>
              <w:left w:val="nil"/>
              <w:bottom w:val="single" w:color="000000" w:sz="4" w:space="0"/>
              <w:right w:val="single" w:color="000000" w:sz="4" w:space="0"/>
            </w:tcBorders>
            <w:tcMar>
              <w:top w:w="0" w:type="dxa"/>
              <w:left w:w="105" w:type="dxa"/>
              <w:bottom w:w="0" w:type="dxa"/>
              <w:right w:w="105" w:type="dxa"/>
            </w:tcMar>
            <w:vAlign w:val="top"/>
          </w:tcPr>
          <w:p w14:paraId="3076A05B">
            <w:pPr>
              <w:pStyle w:val="4"/>
              <w:jc w:val="center"/>
              <w:rPr>
                <w:highlight w:val="none"/>
              </w:rPr>
            </w:pPr>
            <w:r>
              <w:rPr>
                <w:rFonts w:ascii="仿宋_GB2312" w:hAnsi="仿宋_GB2312" w:eastAsia="仿宋_GB2312" w:cs="仿宋_GB2312"/>
                <w:color w:val="000000"/>
                <w:sz w:val="24"/>
                <w:highlight w:val="none"/>
                <w:shd w:val="clear" w:fill="FFFFFF"/>
              </w:rPr>
              <w:t>福船园保洁</w:t>
            </w:r>
          </w:p>
        </w:tc>
        <w:tc>
          <w:tcPr>
            <w:tcW w:w="2865" w:type="dxa"/>
            <w:tcBorders>
              <w:top w:val="nil"/>
              <w:left w:val="nil"/>
              <w:bottom w:val="single" w:color="000000" w:sz="4" w:space="0"/>
              <w:right w:val="single" w:color="000000" w:sz="4" w:space="0"/>
            </w:tcBorders>
            <w:tcMar>
              <w:top w:w="0" w:type="dxa"/>
              <w:left w:w="105" w:type="dxa"/>
              <w:bottom w:w="0" w:type="dxa"/>
              <w:right w:w="105" w:type="dxa"/>
            </w:tcMar>
            <w:vAlign w:val="top"/>
          </w:tcPr>
          <w:p w14:paraId="198AF070">
            <w:pPr>
              <w:pStyle w:val="4"/>
              <w:jc w:val="center"/>
              <w:rPr>
                <w:highlight w:val="none"/>
              </w:rPr>
            </w:pPr>
            <w:r>
              <w:rPr>
                <w:rFonts w:ascii="仿宋_GB2312" w:hAnsi="仿宋_GB2312" w:eastAsia="仿宋_GB2312" w:cs="仿宋_GB2312"/>
                <w:color w:val="000000"/>
                <w:sz w:val="24"/>
                <w:highlight w:val="none"/>
                <w:shd w:val="clear" w:fill="FFFFFF"/>
              </w:rPr>
              <w:t>三轮车</w:t>
            </w:r>
          </w:p>
        </w:tc>
        <w:tc>
          <w:tcPr>
            <w:tcW w:w="750" w:type="dxa"/>
            <w:tcBorders>
              <w:top w:val="nil"/>
              <w:left w:val="nil"/>
              <w:bottom w:val="single" w:color="000000" w:sz="4" w:space="0"/>
              <w:right w:val="single" w:color="000000" w:sz="4" w:space="0"/>
            </w:tcBorders>
            <w:tcMar>
              <w:top w:w="0" w:type="dxa"/>
              <w:left w:w="105" w:type="dxa"/>
              <w:bottom w:w="0" w:type="dxa"/>
              <w:right w:w="105" w:type="dxa"/>
            </w:tcMar>
            <w:vAlign w:val="top"/>
          </w:tcPr>
          <w:p w14:paraId="09441E65">
            <w:pPr>
              <w:pStyle w:val="4"/>
              <w:jc w:val="center"/>
              <w:rPr>
                <w:highlight w:val="none"/>
              </w:rPr>
            </w:pPr>
            <w:r>
              <w:rPr>
                <w:rFonts w:ascii="仿宋_GB2312" w:hAnsi="仿宋_GB2312" w:eastAsia="仿宋_GB2312" w:cs="仿宋_GB2312"/>
                <w:color w:val="000000"/>
                <w:sz w:val="24"/>
                <w:highlight w:val="none"/>
                <w:shd w:val="clear" w:fill="FFFFFF"/>
              </w:rPr>
              <w:t>2</w:t>
            </w:r>
          </w:p>
        </w:tc>
        <w:tc>
          <w:tcPr>
            <w:tcW w:w="1020" w:type="dxa"/>
            <w:tcBorders>
              <w:top w:val="nil"/>
              <w:left w:val="nil"/>
              <w:bottom w:val="single" w:color="000000" w:sz="4" w:space="0"/>
              <w:right w:val="single" w:color="000000" w:sz="4" w:space="0"/>
            </w:tcBorders>
            <w:tcMar>
              <w:top w:w="0" w:type="dxa"/>
              <w:left w:w="105" w:type="dxa"/>
              <w:bottom w:w="0" w:type="dxa"/>
              <w:right w:w="105" w:type="dxa"/>
            </w:tcMar>
            <w:vAlign w:val="top"/>
          </w:tcPr>
          <w:p w14:paraId="475C53F6">
            <w:pPr>
              <w:pStyle w:val="4"/>
              <w:jc w:val="center"/>
              <w:rPr>
                <w:highlight w:val="none"/>
              </w:rPr>
            </w:pPr>
            <w:r>
              <w:rPr>
                <w:rFonts w:ascii="仿宋_GB2312" w:hAnsi="仿宋_GB2312" w:eastAsia="仿宋_GB2312" w:cs="仿宋_GB2312"/>
                <w:color w:val="000000"/>
                <w:sz w:val="24"/>
                <w:highlight w:val="none"/>
                <w:shd w:val="clear" w:fill="FFFFFF"/>
              </w:rPr>
              <w:t>部</w:t>
            </w:r>
          </w:p>
        </w:tc>
      </w:tr>
      <w:tr w14:paraId="398F5D2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50"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01FEDFE6">
            <w:pPr>
              <w:pStyle w:val="4"/>
              <w:jc w:val="center"/>
              <w:rPr>
                <w:highlight w:val="none"/>
              </w:rPr>
            </w:pPr>
            <w:r>
              <w:rPr>
                <w:rFonts w:ascii="仿宋_GB2312" w:hAnsi="仿宋_GB2312" w:eastAsia="仿宋_GB2312" w:cs="仿宋_GB2312"/>
                <w:color w:val="000000"/>
                <w:sz w:val="24"/>
                <w:highlight w:val="none"/>
                <w:shd w:val="clear" w:fill="FFFFFF"/>
              </w:rPr>
              <w:t>23</w:t>
            </w:r>
          </w:p>
        </w:tc>
        <w:tc>
          <w:tcPr>
            <w:tcW w:w="1545" w:type="dxa"/>
            <w:tcBorders>
              <w:top w:val="nil"/>
              <w:left w:val="nil"/>
              <w:bottom w:val="single" w:color="000000" w:sz="4" w:space="0"/>
              <w:right w:val="single" w:color="000000" w:sz="4" w:space="0"/>
            </w:tcBorders>
            <w:tcMar>
              <w:top w:w="0" w:type="dxa"/>
              <w:left w:w="105" w:type="dxa"/>
              <w:bottom w:w="0" w:type="dxa"/>
              <w:right w:w="105" w:type="dxa"/>
            </w:tcMar>
            <w:vAlign w:val="top"/>
          </w:tcPr>
          <w:p w14:paraId="1DAA5000">
            <w:pPr>
              <w:pStyle w:val="4"/>
              <w:jc w:val="center"/>
              <w:rPr>
                <w:highlight w:val="none"/>
              </w:rPr>
            </w:pPr>
            <w:r>
              <w:rPr>
                <w:rFonts w:ascii="仿宋_GB2312" w:hAnsi="仿宋_GB2312" w:eastAsia="仿宋_GB2312" w:cs="仿宋_GB2312"/>
                <w:color w:val="000000"/>
                <w:sz w:val="24"/>
                <w:highlight w:val="none"/>
                <w:shd w:val="clear" w:fill="FFFFFF"/>
              </w:rPr>
              <w:t>福船园保洁</w:t>
            </w:r>
          </w:p>
        </w:tc>
        <w:tc>
          <w:tcPr>
            <w:tcW w:w="2865" w:type="dxa"/>
            <w:tcBorders>
              <w:top w:val="nil"/>
              <w:left w:val="nil"/>
              <w:bottom w:val="single" w:color="000000" w:sz="4" w:space="0"/>
              <w:right w:val="single" w:color="000000" w:sz="4" w:space="0"/>
            </w:tcBorders>
            <w:tcMar>
              <w:top w:w="0" w:type="dxa"/>
              <w:left w:w="105" w:type="dxa"/>
              <w:bottom w:w="0" w:type="dxa"/>
              <w:right w:w="105" w:type="dxa"/>
            </w:tcMar>
            <w:vAlign w:val="top"/>
          </w:tcPr>
          <w:p w14:paraId="178C4546">
            <w:pPr>
              <w:pStyle w:val="4"/>
              <w:jc w:val="center"/>
              <w:rPr>
                <w:highlight w:val="none"/>
              </w:rPr>
            </w:pPr>
            <w:r>
              <w:rPr>
                <w:rFonts w:ascii="仿宋_GB2312" w:hAnsi="仿宋_GB2312" w:eastAsia="仿宋_GB2312" w:cs="仿宋_GB2312"/>
                <w:color w:val="000000"/>
                <w:sz w:val="24"/>
                <w:highlight w:val="none"/>
                <w:shd w:val="clear" w:fill="FFFFFF"/>
              </w:rPr>
              <w:t>保洁环卫车</w:t>
            </w:r>
          </w:p>
        </w:tc>
        <w:tc>
          <w:tcPr>
            <w:tcW w:w="750" w:type="dxa"/>
            <w:tcBorders>
              <w:top w:val="nil"/>
              <w:left w:val="nil"/>
              <w:bottom w:val="single" w:color="000000" w:sz="4" w:space="0"/>
              <w:right w:val="single" w:color="000000" w:sz="4" w:space="0"/>
            </w:tcBorders>
            <w:tcMar>
              <w:top w:w="0" w:type="dxa"/>
              <w:left w:w="105" w:type="dxa"/>
              <w:bottom w:w="0" w:type="dxa"/>
              <w:right w:w="105" w:type="dxa"/>
            </w:tcMar>
            <w:vAlign w:val="top"/>
          </w:tcPr>
          <w:p w14:paraId="125E075C">
            <w:pPr>
              <w:pStyle w:val="4"/>
              <w:jc w:val="center"/>
              <w:rPr>
                <w:highlight w:val="none"/>
              </w:rPr>
            </w:pPr>
            <w:r>
              <w:rPr>
                <w:rFonts w:ascii="仿宋_GB2312" w:hAnsi="仿宋_GB2312" w:eastAsia="仿宋_GB2312" w:cs="仿宋_GB2312"/>
                <w:color w:val="000000"/>
                <w:sz w:val="24"/>
                <w:highlight w:val="none"/>
                <w:shd w:val="clear" w:fill="FFFFFF"/>
              </w:rPr>
              <w:t>1</w:t>
            </w:r>
          </w:p>
        </w:tc>
        <w:tc>
          <w:tcPr>
            <w:tcW w:w="1020" w:type="dxa"/>
            <w:tcBorders>
              <w:top w:val="nil"/>
              <w:left w:val="nil"/>
              <w:bottom w:val="single" w:color="000000" w:sz="4" w:space="0"/>
              <w:right w:val="single" w:color="000000" w:sz="4" w:space="0"/>
            </w:tcBorders>
            <w:tcMar>
              <w:top w:w="0" w:type="dxa"/>
              <w:left w:w="105" w:type="dxa"/>
              <w:bottom w:w="0" w:type="dxa"/>
              <w:right w:w="105" w:type="dxa"/>
            </w:tcMar>
            <w:vAlign w:val="top"/>
          </w:tcPr>
          <w:p w14:paraId="3920438F">
            <w:pPr>
              <w:pStyle w:val="4"/>
              <w:jc w:val="center"/>
              <w:rPr>
                <w:highlight w:val="none"/>
              </w:rPr>
            </w:pPr>
            <w:r>
              <w:rPr>
                <w:rFonts w:ascii="仿宋_GB2312" w:hAnsi="仿宋_GB2312" w:eastAsia="仿宋_GB2312" w:cs="仿宋_GB2312"/>
                <w:color w:val="000000"/>
                <w:sz w:val="24"/>
                <w:highlight w:val="none"/>
                <w:shd w:val="clear" w:fill="FFFFFF"/>
              </w:rPr>
              <w:t>部</w:t>
            </w:r>
          </w:p>
        </w:tc>
      </w:tr>
      <w:tr w14:paraId="1D3B76C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50"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FE49A34">
            <w:pPr>
              <w:pStyle w:val="4"/>
              <w:jc w:val="center"/>
              <w:rPr>
                <w:highlight w:val="none"/>
              </w:rPr>
            </w:pPr>
            <w:r>
              <w:rPr>
                <w:rFonts w:ascii="仿宋_GB2312" w:hAnsi="仿宋_GB2312" w:eastAsia="仿宋_GB2312" w:cs="仿宋_GB2312"/>
                <w:color w:val="000000"/>
                <w:sz w:val="24"/>
                <w:highlight w:val="none"/>
                <w:shd w:val="clear" w:fill="FFFFFF"/>
              </w:rPr>
              <w:t>24</w:t>
            </w:r>
          </w:p>
        </w:tc>
        <w:tc>
          <w:tcPr>
            <w:tcW w:w="1545" w:type="dxa"/>
            <w:tcBorders>
              <w:top w:val="nil"/>
              <w:left w:val="nil"/>
              <w:bottom w:val="single" w:color="000000" w:sz="4" w:space="0"/>
              <w:right w:val="single" w:color="000000" w:sz="4" w:space="0"/>
            </w:tcBorders>
            <w:tcMar>
              <w:top w:w="0" w:type="dxa"/>
              <w:left w:w="105" w:type="dxa"/>
              <w:bottom w:w="0" w:type="dxa"/>
              <w:right w:w="105" w:type="dxa"/>
            </w:tcMar>
            <w:vAlign w:val="top"/>
          </w:tcPr>
          <w:p w14:paraId="6CC53619">
            <w:pPr>
              <w:pStyle w:val="4"/>
              <w:jc w:val="center"/>
              <w:rPr>
                <w:highlight w:val="none"/>
              </w:rPr>
            </w:pPr>
            <w:r>
              <w:rPr>
                <w:rFonts w:ascii="仿宋_GB2312" w:hAnsi="仿宋_GB2312" w:eastAsia="仿宋_GB2312" w:cs="仿宋_GB2312"/>
                <w:color w:val="000000"/>
                <w:sz w:val="24"/>
                <w:highlight w:val="none"/>
                <w:shd w:val="clear" w:fill="FFFFFF"/>
              </w:rPr>
              <w:t>福船园保洁</w:t>
            </w:r>
          </w:p>
        </w:tc>
        <w:tc>
          <w:tcPr>
            <w:tcW w:w="2865" w:type="dxa"/>
            <w:tcBorders>
              <w:top w:val="nil"/>
              <w:left w:val="nil"/>
              <w:bottom w:val="single" w:color="000000" w:sz="4" w:space="0"/>
              <w:right w:val="single" w:color="000000" w:sz="4" w:space="0"/>
            </w:tcBorders>
            <w:tcMar>
              <w:top w:w="0" w:type="dxa"/>
              <w:left w:w="105" w:type="dxa"/>
              <w:bottom w:w="0" w:type="dxa"/>
              <w:right w:w="105" w:type="dxa"/>
            </w:tcMar>
            <w:vAlign w:val="top"/>
          </w:tcPr>
          <w:p w14:paraId="4A932D66">
            <w:pPr>
              <w:pStyle w:val="4"/>
              <w:jc w:val="center"/>
              <w:rPr>
                <w:highlight w:val="none"/>
              </w:rPr>
            </w:pPr>
            <w:r>
              <w:rPr>
                <w:rFonts w:ascii="仿宋_GB2312" w:hAnsi="仿宋_GB2312" w:eastAsia="仿宋_GB2312" w:cs="仿宋_GB2312"/>
                <w:color w:val="000000"/>
                <w:sz w:val="24"/>
                <w:highlight w:val="none"/>
                <w:shd w:val="clear" w:fill="FFFFFF"/>
              </w:rPr>
              <w:t>三轮高压冲洗车</w:t>
            </w:r>
          </w:p>
        </w:tc>
        <w:tc>
          <w:tcPr>
            <w:tcW w:w="750" w:type="dxa"/>
            <w:tcBorders>
              <w:top w:val="nil"/>
              <w:left w:val="nil"/>
              <w:bottom w:val="single" w:color="000000" w:sz="4" w:space="0"/>
              <w:right w:val="single" w:color="000000" w:sz="4" w:space="0"/>
            </w:tcBorders>
            <w:tcMar>
              <w:top w:w="0" w:type="dxa"/>
              <w:left w:w="105" w:type="dxa"/>
              <w:bottom w:w="0" w:type="dxa"/>
              <w:right w:w="105" w:type="dxa"/>
            </w:tcMar>
            <w:vAlign w:val="top"/>
          </w:tcPr>
          <w:p w14:paraId="323B9AC7">
            <w:pPr>
              <w:pStyle w:val="4"/>
              <w:jc w:val="center"/>
              <w:rPr>
                <w:highlight w:val="none"/>
              </w:rPr>
            </w:pPr>
            <w:r>
              <w:rPr>
                <w:rFonts w:ascii="仿宋_GB2312" w:hAnsi="仿宋_GB2312" w:eastAsia="仿宋_GB2312" w:cs="仿宋_GB2312"/>
                <w:color w:val="000000"/>
                <w:sz w:val="24"/>
                <w:highlight w:val="none"/>
                <w:shd w:val="clear" w:fill="FFFFFF"/>
              </w:rPr>
              <w:t>1</w:t>
            </w:r>
          </w:p>
        </w:tc>
        <w:tc>
          <w:tcPr>
            <w:tcW w:w="1020" w:type="dxa"/>
            <w:tcBorders>
              <w:top w:val="nil"/>
              <w:left w:val="nil"/>
              <w:bottom w:val="single" w:color="000000" w:sz="4" w:space="0"/>
              <w:right w:val="single" w:color="000000" w:sz="4" w:space="0"/>
            </w:tcBorders>
            <w:tcMar>
              <w:top w:w="0" w:type="dxa"/>
              <w:left w:w="105" w:type="dxa"/>
              <w:bottom w:w="0" w:type="dxa"/>
              <w:right w:w="105" w:type="dxa"/>
            </w:tcMar>
            <w:vAlign w:val="top"/>
          </w:tcPr>
          <w:p w14:paraId="576E756A">
            <w:pPr>
              <w:pStyle w:val="4"/>
              <w:jc w:val="center"/>
              <w:rPr>
                <w:highlight w:val="none"/>
              </w:rPr>
            </w:pPr>
            <w:r>
              <w:rPr>
                <w:rFonts w:ascii="仿宋_GB2312" w:hAnsi="仿宋_GB2312" w:eastAsia="仿宋_GB2312" w:cs="仿宋_GB2312"/>
                <w:color w:val="000000"/>
                <w:sz w:val="24"/>
                <w:highlight w:val="none"/>
                <w:shd w:val="clear" w:fill="FFFFFF"/>
              </w:rPr>
              <w:t>部</w:t>
            </w:r>
          </w:p>
        </w:tc>
      </w:tr>
      <w:tr w14:paraId="2B1E194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50"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016F54D0">
            <w:pPr>
              <w:pStyle w:val="4"/>
              <w:jc w:val="center"/>
              <w:rPr>
                <w:highlight w:val="none"/>
              </w:rPr>
            </w:pPr>
            <w:r>
              <w:rPr>
                <w:rFonts w:ascii="仿宋_GB2312" w:hAnsi="仿宋_GB2312" w:eastAsia="仿宋_GB2312" w:cs="仿宋_GB2312"/>
                <w:color w:val="000000"/>
                <w:sz w:val="24"/>
                <w:highlight w:val="none"/>
                <w:shd w:val="clear" w:fill="FFFFFF"/>
              </w:rPr>
              <w:t>25</w:t>
            </w:r>
          </w:p>
        </w:tc>
        <w:tc>
          <w:tcPr>
            <w:tcW w:w="1545" w:type="dxa"/>
            <w:tcBorders>
              <w:top w:val="nil"/>
              <w:left w:val="nil"/>
              <w:bottom w:val="single" w:color="000000" w:sz="4" w:space="0"/>
              <w:right w:val="single" w:color="000000" w:sz="4" w:space="0"/>
            </w:tcBorders>
            <w:tcMar>
              <w:top w:w="0" w:type="dxa"/>
              <w:left w:w="105" w:type="dxa"/>
              <w:bottom w:w="0" w:type="dxa"/>
              <w:right w:w="105" w:type="dxa"/>
            </w:tcMar>
            <w:vAlign w:val="top"/>
          </w:tcPr>
          <w:p w14:paraId="4785EE56">
            <w:pPr>
              <w:pStyle w:val="4"/>
              <w:jc w:val="center"/>
              <w:rPr>
                <w:highlight w:val="none"/>
              </w:rPr>
            </w:pPr>
            <w:r>
              <w:rPr>
                <w:rFonts w:ascii="仿宋_GB2312" w:hAnsi="仿宋_GB2312" w:eastAsia="仿宋_GB2312" w:cs="仿宋_GB2312"/>
                <w:color w:val="000000"/>
                <w:sz w:val="24"/>
                <w:highlight w:val="none"/>
                <w:shd w:val="clear" w:fill="FFFFFF"/>
              </w:rPr>
              <w:t>福船园保洁</w:t>
            </w:r>
          </w:p>
        </w:tc>
        <w:tc>
          <w:tcPr>
            <w:tcW w:w="2865" w:type="dxa"/>
            <w:tcBorders>
              <w:top w:val="nil"/>
              <w:left w:val="nil"/>
              <w:bottom w:val="single" w:color="000000" w:sz="4" w:space="0"/>
              <w:right w:val="single" w:color="000000" w:sz="4" w:space="0"/>
            </w:tcBorders>
            <w:tcMar>
              <w:top w:w="0" w:type="dxa"/>
              <w:left w:w="105" w:type="dxa"/>
              <w:bottom w:w="0" w:type="dxa"/>
              <w:right w:w="105" w:type="dxa"/>
            </w:tcMar>
            <w:vAlign w:val="top"/>
          </w:tcPr>
          <w:p w14:paraId="6B45C017">
            <w:pPr>
              <w:pStyle w:val="4"/>
              <w:jc w:val="center"/>
              <w:rPr>
                <w:highlight w:val="none"/>
              </w:rPr>
            </w:pPr>
            <w:r>
              <w:rPr>
                <w:rFonts w:ascii="仿宋_GB2312" w:hAnsi="仿宋_GB2312" w:eastAsia="仿宋_GB2312" w:cs="仿宋_GB2312"/>
                <w:color w:val="000000"/>
                <w:sz w:val="24"/>
                <w:highlight w:val="none"/>
                <w:shd w:val="clear" w:fill="FFFFFF"/>
              </w:rPr>
              <w:t>背式喷雾机</w:t>
            </w:r>
          </w:p>
        </w:tc>
        <w:tc>
          <w:tcPr>
            <w:tcW w:w="750" w:type="dxa"/>
            <w:tcBorders>
              <w:top w:val="nil"/>
              <w:left w:val="nil"/>
              <w:bottom w:val="single" w:color="000000" w:sz="4" w:space="0"/>
              <w:right w:val="single" w:color="000000" w:sz="4" w:space="0"/>
            </w:tcBorders>
            <w:tcMar>
              <w:top w:w="0" w:type="dxa"/>
              <w:left w:w="105" w:type="dxa"/>
              <w:bottom w:w="0" w:type="dxa"/>
              <w:right w:w="105" w:type="dxa"/>
            </w:tcMar>
            <w:vAlign w:val="top"/>
          </w:tcPr>
          <w:p w14:paraId="21437143">
            <w:pPr>
              <w:pStyle w:val="4"/>
              <w:jc w:val="center"/>
              <w:rPr>
                <w:highlight w:val="none"/>
              </w:rPr>
            </w:pPr>
            <w:r>
              <w:rPr>
                <w:rFonts w:ascii="仿宋_GB2312" w:hAnsi="仿宋_GB2312" w:eastAsia="仿宋_GB2312" w:cs="仿宋_GB2312"/>
                <w:color w:val="000000"/>
                <w:sz w:val="24"/>
                <w:highlight w:val="none"/>
                <w:shd w:val="clear" w:fill="FFFFFF"/>
              </w:rPr>
              <w:t>1</w:t>
            </w:r>
          </w:p>
        </w:tc>
        <w:tc>
          <w:tcPr>
            <w:tcW w:w="1020" w:type="dxa"/>
            <w:tcBorders>
              <w:top w:val="nil"/>
              <w:left w:val="nil"/>
              <w:bottom w:val="single" w:color="000000" w:sz="4" w:space="0"/>
              <w:right w:val="single" w:color="000000" w:sz="4" w:space="0"/>
            </w:tcBorders>
            <w:tcMar>
              <w:top w:w="0" w:type="dxa"/>
              <w:left w:w="105" w:type="dxa"/>
              <w:bottom w:w="0" w:type="dxa"/>
              <w:right w:w="105" w:type="dxa"/>
            </w:tcMar>
            <w:vAlign w:val="top"/>
          </w:tcPr>
          <w:p w14:paraId="2200C36E">
            <w:pPr>
              <w:pStyle w:val="4"/>
              <w:jc w:val="center"/>
              <w:rPr>
                <w:highlight w:val="none"/>
              </w:rPr>
            </w:pPr>
            <w:r>
              <w:rPr>
                <w:rFonts w:ascii="仿宋_GB2312" w:hAnsi="仿宋_GB2312" w:eastAsia="仿宋_GB2312" w:cs="仿宋_GB2312"/>
                <w:color w:val="000000"/>
                <w:sz w:val="24"/>
                <w:highlight w:val="none"/>
                <w:shd w:val="clear" w:fill="FFFFFF"/>
              </w:rPr>
              <w:t>个</w:t>
            </w:r>
          </w:p>
        </w:tc>
      </w:tr>
      <w:tr w14:paraId="1AB4790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50"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0C30B11">
            <w:pPr>
              <w:pStyle w:val="4"/>
              <w:jc w:val="center"/>
              <w:rPr>
                <w:highlight w:val="none"/>
              </w:rPr>
            </w:pPr>
            <w:r>
              <w:rPr>
                <w:rFonts w:ascii="仿宋_GB2312" w:hAnsi="仿宋_GB2312" w:eastAsia="仿宋_GB2312" w:cs="仿宋_GB2312"/>
                <w:color w:val="000000"/>
                <w:sz w:val="24"/>
                <w:highlight w:val="none"/>
                <w:shd w:val="clear" w:fill="FFFFFF"/>
              </w:rPr>
              <w:t>26</w:t>
            </w:r>
          </w:p>
        </w:tc>
        <w:tc>
          <w:tcPr>
            <w:tcW w:w="1545" w:type="dxa"/>
            <w:tcBorders>
              <w:top w:val="nil"/>
              <w:left w:val="nil"/>
              <w:bottom w:val="single" w:color="000000" w:sz="4" w:space="0"/>
              <w:right w:val="single" w:color="000000" w:sz="4" w:space="0"/>
            </w:tcBorders>
            <w:tcMar>
              <w:top w:w="0" w:type="dxa"/>
              <w:left w:w="105" w:type="dxa"/>
              <w:bottom w:w="0" w:type="dxa"/>
              <w:right w:w="105" w:type="dxa"/>
            </w:tcMar>
            <w:vAlign w:val="top"/>
          </w:tcPr>
          <w:p w14:paraId="5ED7F27A">
            <w:pPr>
              <w:pStyle w:val="4"/>
              <w:jc w:val="center"/>
              <w:rPr>
                <w:highlight w:val="none"/>
              </w:rPr>
            </w:pPr>
            <w:r>
              <w:rPr>
                <w:rFonts w:ascii="仿宋_GB2312" w:hAnsi="仿宋_GB2312" w:eastAsia="仿宋_GB2312" w:cs="仿宋_GB2312"/>
                <w:color w:val="000000"/>
                <w:sz w:val="24"/>
                <w:highlight w:val="none"/>
                <w:shd w:val="clear" w:fill="FFFFFF"/>
              </w:rPr>
              <w:t>福船园保洁</w:t>
            </w:r>
          </w:p>
        </w:tc>
        <w:tc>
          <w:tcPr>
            <w:tcW w:w="2865" w:type="dxa"/>
            <w:tcBorders>
              <w:top w:val="nil"/>
              <w:left w:val="nil"/>
              <w:bottom w:val="single" w:color="000000" w:sz="4" w:space="0"/>
              <w:right w:val="single" w:color="000000" w:sz="4" w:space="0"/>
            </w:tcBorders>
            <w:tcMar>
              <w:top w:w="0" w:type="dxa"/>
              <w:left w:w="105" w:type="dxa"/>
              <w:bottom w:w="0" w:type="dxa"/>
              <w:right w:w="105" w:type="dxa"/>
            </w:tcMar>
            <w:vAlign w:val="top"/>
          </w:tcPr>
          <w:p w14:paraId="1E94634A">
            <w:pPr>
              <w:pStyle w:val="4"/>
              <w:jc w:val="center"/>
              <w:rPr>
                <w:highlight w:val="none"/>
              </w:rPr>
            </w:pPr>
            <w:r>
              <w:rPr>
                <w:rFonts w:ascii="仿宋_GB2312" w:hAnsi="仿宋_GB2312" w:eastAsia="仿宋_GB2312" w:cs="仿宋_GB2312"/>
                <w:color w:val="000000"/>
                <w:sz w:val="24"/>
                <w:highlight w:val="none"/>
                <w:shd w:val="clear" w:fill="FFFFFF"/>
              </w:rPr>
              <w:t>手推打药机</w:t>
            </w:r>
          </w:p>
        </w:tc>
        <w:tc>
          <w:tcPr>
            <w:tcW w:w="750" w:type="dxa"/>
            <w:tcBorders>
              <w:top w:val="nil"/>
              <w:left w:val="nil"/>
              <w:bottom w:val="single" w:color="000000" w:sz="4" w:space="0"/>
              <w:right w:val="single" w:color="000000" w:sz="4" w:space="0"/>
            </w:tcBorders>
            <w:tcMar>
              <w:top w:w="0" w:type="dxa"/>
              <w:left w:w="105" w:type="dxa"/>
              <w:bottom w:w="0" w:type="dxa"/>
              <w:right w:w="105" w:type="dxa"/>
            </w:tcMar>
            <w:vAlign w:val="top"/>
          </w:tcPr>
          <w:p w14:paraId="448FB7F9">
            <w:pPr>
              <w:pStyle w:val="4"/>
              <w:jc w:val="center"/>
              <w:rPr>
                <w:highlight w:val="none"/>
              </w:rPr>
            </w:pPr>
            <w:r>
              <w:rPr>
                <w:rFonts w:ascii="仿宋_GB2312" w:hAnsi="仿宋_GB2312" w:eastAsia="仿宋_GB2312" w:cs="仿宋_GB2312"/>
                <w:color w:val="000000"/>
                <w:sz w:val="24"/>
                <w:highlight w:val="none"/>
                <w:shd w:val="clear" w:fill="FFFFFF"/>
              </w:rPr>
              <w:t>1</w:t>
            </w:r>
          </w:p>
        </w:tc>
        <w:tc>
          <w:tcPr>
            <w:tcW w:w="1020" w:type="dxa"/>
            <w:tcBorders>
              <w:top w:val="nil"/>
              <w:left w:val="nil"/>
              <w:bottom w:val="single" w:color="000000" w:sz="4" w:space="0"/>
              <w:right w:val="single" w:color="000000" w:sz="4" w:space="0"/>
            </w:tcBorders>
            <w:tcMar>
              <w:top w:w="0" w:type="dxa"/>
              <w:left w:w="105" w:type="dxa"/>
              <w:bottom w:w="0" w:type="dxa"/>
              <w:right w:w="105" w:type="dxa"/>
            </w:tcMar>
            <w:vAlign w:val="top"/>
          </w:tcPr>
          <w:p w14:paraId="7FFDA000">
            <w:pPr>
              <w:pStyle w:val="4"/>
              <w:jc w:val="center"/>
              <w:rPr>
                <w:highlight w:val="none"/>
              </w:rPr>
            </w:pPr>
            <w:r>
              <w:rPr>
                <w:rFonts w:ascii="仿宋_GB2312" w:hAnsi="仿宋_GB2312" w:eastAsia="仿宋_GB2312" w:cs="仿宋_GB2312"/>
                <w:color w:val="000000"/>
                <w:sz w:val="24"/>
                <w:highlight w:val="none"/>
                <w:shd w:val="clear" w:fill="FFFFFF"/>
              </w:rPr>
              <w:t>部</w:t>
            </w:r>
          </w:p>
        </w:tc>
      </w:tr>
      <w:tr w14:paraId="02D328B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50"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533BA12">
            <w:pPr>
              <w:pStyle w:val="4"/>
              <w:jc w:val="center"/>
              <w:rPr>
                <w:highlight w:val="none"/>
              </w:rPr>
            </w:pPr>
            <w:r>
              <w:rPr>
                <w:rFonts w:ascii="仿宋_GB2312" w:hAnsi="仿宋_GB2312" w:eastAsia="仿宋_GB2312" w:cs="仿宋_GB2312"/>
                <w:color w:val="000000"/>
                <w:sz w:val="24"/>
                <w:highlight w:val="none"/>
                <w:shd w:val="clear" w:fill="FFFFFF"/>
              </w:rPr>
              <w:t>27</w:t>
            </w:r>
          </w:p>
        </w:tc>
        <w:tc>
          <w:tcPr>
            <w:tcW w:w="1545" w:type="dxa"/>
            <w:tcBorders>
              <w:top w:val="nil"/>
              <w:left w:val="nil"/>
              <w:bottom w:val="single" w:color="000000" w:sz="4" w:space="0"/>
              <w:right w:val="single" w:color="000000" w:sz="4" w:space="0"/>
            </w:tcBorders>
            <w:tcMar>
              <w:top w:w="0" w:type="dxa"/>
              <w:left w:w="105" w:type="dxa"/>
              <w:bottom w:w="0" w:type="dxa"/>
              <w:right w:w="105" w:type="dxa"/>
            </w:tcMar>
            <w:vAlign w:val="top"/>
          </w:tcPr>
          <w:p w14:paraId="2C68C830">
            <w:pPr>
              <w:pStyle w:val="4"/>
              <w:jc w:val="center"/>
              <w:rPr>
                <w:highlight w:val="none"/>
              </w:rPr>
            </w:pPr>
            <w:r>
              <w:rPr>
                <w:rFonts w:ascii="仿宋_GB2312" w:hAnsi="仿宋_GB2312" w:eastAsia="仿宋_GB2312" w:cs="仿宋_GB2312"/>
                <w:color w:val="000000"/>
                <w:sz w:val="24"/>
                <w:highlight w:val="none"/>
                <w:shd w:val="clear" w:fill="FFFFFF"/>
              </w:rPr>
              <w:t>工程</w:t>
            </w:r>
          </w:p>
        </w:tc>
        <w:tc>
          <w:tcPr>
            <w:tcW w:w="2865" w:type="dxa"/>
            <w:tcBorders>
              <w:top w:val="nil"/>
              <w:left w:val="nil"/>
              <w:bottom w:val="single" w:color="000000" w:sz="4" w:space="0"/>
              <w:right w:val="single" w:color="000000" w:sz="4" w:space="0"/>
            </w:tcBorders>
            <w:tcMar>
              <w:top w:w="0" w:type="dxa"/>
              <w:left w:w="105" w:type="dxa"/>
              <w:bottom w:w="0" w:type="dxa"/>
              <w:right w:w="105" w:type="dxa"/>
            </w:tcMar>
            <w:vAlign w:val="top"/>
          </w:tcPr>
          <w:p w14:paraId="3D3A2FDB">
            <w:pPr>
              <w:pStyle w:val="4"/>
              <w:jc w:val="center"/>
              <w:rPr>
                <w:highlight w:val="none"/>
              </w:rPr>
            </w:pPr>
            <w:r>
              <w:rPr>
                <w:rFonts w:ascii="仿宋_GB2312" w:hAnsi="仿宋_GB2312" w:eastAsia="仿宋_GB2312" w:cs="仿宋_GB2312"/>
                <w:color w:val="000000"/>
                <w:sz w:val="24"/>
                <w:highlight w:val="none"/>
                <w:shd w:val="clear" w:fill="FFFFFF"/>
              </w:rPr>
              <w:t>三轮车</w:t>
            </w:r>
          </w:p>
        </w:tc>
        <w:tc>
          <w:tcPr>
            <w:tcW w:w="750" w:type="dxa"/>
            <w:tcBorders>
              <w:top w:val="nil"/>
              <w:left w:val="nil"/>
              <w:bottom w:val="single" w:color="000000" w:sz="4" w:space="0"/>
              <w:right w:val="single" w:color="000000" w:sz="4" w:space="0"/>
            </w:tcBorders>
            <w:tcMar>
              <w:top w:w="0" w:type="dxa"/>
              <w:left w:w="105" w:type="dxa"/>
              <w:bottom w:w="0" w:type="dxa"/>
              <w:right w:w="105" w:type="dxa"/>
            </w:tcMar>
            <w:vAlign w:val="top"/>
          </w:tcPr>
          <w:p w14:paraId="0EAF7802">
            <w:pPr>
              <w:pStyle w:val="4"/>
              <w:jc w:val="center"/>
              <w:rPr>
                <w:highlight w:val="none"/>
              </w:rPr>
            </w:pPr>
            <w:r>
              <w:rPr>
                <w:rFonts w:ascii="仿宋_GB2312" w:hAnsi="仿宋_GB2312" w:eastAsia="仿宋_GB2312" w:cs="仿宋_GB2312"/>
                <w:color w:val="000000"/>
                <w:sz w:val="24"/>
                <w:highlight w:val="none"/>
                <w:shd w:val="clear" w:fill="FFFFFF"/>
              </w:rPr>
              <w:t>2</w:t>
            </w:r>
          </w:p>
        </w:tc>
        <w:tc>
          <w:tcPr>
            <w:tcW w:w="1020" w:type="dxa"/>
            <w:tcBorders>
              <w:top w:val="nil"/>
              <w:left w:val="nil"/>
              <w:bottom w:val="single" w:color="000000" w:sz="4" w:space="0"/>
              <w:right w:val="single" w:color="000000" w:sz="4" w:space="0"/>
            </w:tcBorders>
            <w:tcMar>
              <w:top w:w="0" w:type="dxa"/>
              <w:left w:w="105" w:type="dxa"/>
              <w:bottom w:w="0" w:type="dxa"/>
              <w:right w:w="105" w:type="dxa"/>
            </w:tcMar>
            <w:vAlign w:val="top"/>
          </w:tcPr>
          <w:p w14:paraId="318CF0BE">
            <w:pPr>
              <w:pStyle w:val="4"/>
              <w:jc w:val="center"/>
              <w:rPr>
                <w:highlight w:val="none"/>
              </w:rPr>
            </w:pPr>
            <w:r>
              <w:rPr>
                <w:rFonts w:ascii="仿宋_GB2312" w:hAnsi="仿宋_GB2312" w:eastAsia="仿宋_GB2312" w:cs="仿宋_GB2312"/>
                <w:color w:val="000000"/>
                <w:sz w:val="24"/>
                <w:highlight w:val="none"/>
                <w:shd w:val="clear" w:fill="FFFFFF"/>
              </w:rPr>
              <w:t>部</w:t>
            </w:r>
          </w:p>
        </w:tc>
      </w:tr>
      <w:tr w14:paraId="1CB8FAB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50"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475B8382">
            <w:pPr>
              <w:pStyle w:val="4"/>
              <w:jc w:val="center"/>
              <w:rPr>
                <w:highlight w:val="none"/>
              </w:rPr>
            </w:pPr>
            <w:r>
              <w:rPr>
                <w:rFonts w:ascii="仿宋_GB2312" w:hAnsi="仿宋_GB2312" w:eastAsia="仿宋_GB2312" w:cs="仿宋_GB2312"/>
                <w:color w:val="000000"/>
                <w:sz w:val="24"/>
                <w:highlight w:val="none"/>
                <w:shd w:val="clear" w:fill="FFFFFF"/>
              </w:rPr>
              <w:t>28</w:t>
            </w:r>
          </w:p>
        </w:tc>
        <w:tc>
          <w:tcPr>
            <w:tcW w:w="1545" w:type="dxa"/>
            <w:tcBorders>
              <w:top w:val="nil"/>
              <w:left w:val="nil"/>
              <w:bottom w:val="single" w:color="000000" w:sz="4" w:space="0"/>
              <w:right w:val="single" w:color="000000" w:sz="4" w:space="0"/>
            </w:tcBorders>
            <w:tcMar>
              <w:top w:w="0" w:type="dxa"/>
              <w:left w:w="105" w:type="dxa"/>
              <w:bottom w:w="0" w:type="dxa"/>
              <w:right w:w="105" w:type="dxa"/>
            </w:tcMar>
            <w:vAlign w:val="top"/>
          </w:tcPr>
          <w:p w14:paraId="0C1F06ED">
            <w:pPr>
              <w:pStyle w:val="4"/>
              <w:jc w:val="center"/>
              <w:rPr>
                <w:highlight w:val="none"/>
              </w:rPr>
            </w:pPr>
            <w:r>
              <w:rPr>
                <w:rFonts w:ascii="仿宋_GB2312" w:hAnsi="仿宋_GB2312" w:eastAsia="仿宋_GB2312" w:cs="仿宋_GB2312"/>
                <w:color w:val="000000"/>
                <w:sz w:val="24"/>
                <w:highlight w:val="none"/>
                <w:shd w:val="clear" w:fill="FFFFFF"/>
              </w:rPr>
              <w:t>工程</w:t>
            </w:r>
          </w:p>
        </w:tc>
        <w:tc>
          <w:tcPr>
            <w:tcW w:w="2865" w:type="dxa"/>
            <w:tcBorders>
              <w:top w:val="nil"/>
              <w:left w:val="nil"/>
              <w:bottom w:val="single" w:color="000000" w:sz="4" w:space="0"/>
              <w:right w:val="single" w:color="000000" w:sz="4" w:space="0"/>
            </w:tcBorders>
            <w:tcMar>
              <w:top w:w="0" w:type="dxa"/>
              <w:left w:w="105" w:type="dxa"/>
              <w:bottom w:w="0" w:type="dxa"/>
              <w:right w:w="105" w:type="dxa"/>
            </w:tcMar>
            <w:vAlign w:val="top"/>
          </w:tcPr>
          <w:p w14:paraId="18C1BBE9">
            <w:pPr>
              <w:pStyle w:val="4"/>
              <w:jc w:val="center"/>
              <w:rPr>
                <w:highlight w:val="none"/>
              </w:rPr>
            </w:pPr>
            <w:r>
              <w:rPr>
                <w:rFonts w:ascii="仿宋_GB2312" w:hAnsi="仿宋_GB2312" w:eastAsia="仿宋_GB2312" w:cs="仿宋_GB2312"/>
                <w:color w:val="000000"/>
                <w:sz w:val="24"/>
                <w:highlight w:val="none"/>
                <w:shd w:val="clear" w:fill="FFFFFF"/>
              </w:rPr>
              <w:t>高压手推升降平台</w:t>
            </w:r>
          </w:p>
        </w:tc>
        <w:tc>
          <w:tcPr>
            <w:tcW w:w="750" w:type="dxa"/>
            <w:tcBorders>
              <w:top w:val="nil"/>
              <w:left w:val="nil"/>
              <w:bottom w:val="single" w:color="000000" w:sz="4" w:space="0"/>
              <w:right w:val="single" w:color="000000" w:sz="4" w:space="0"/>
            </w:tcBorders>
            <w:tcMar>
              <w:top w:w="0" w:type="dxa"/>
              <w:left w:w="105" w:type="dxa"/>
              <w:bottom w:w="0" w:type="dxa"/>
              <w:right w:w="105" w:type="dxa"/>
            </w:tcMar>
            <w:vAlign w:val="top"/>
          </w:tcPr>
          <w:p w14:paraId="34CE9C6E">
            <w:pPr>
              <w:pStyle w:val="4"/>
              <w:jc w:val="center"/>
              <w:rPr>
                <w:highlight w:val="none"/>
              </w:rPr>
            </w:pPr>
            <w:r>
              <w:rPr>
                <w:rFonts w:ascii="仿宋_GB2312" w:hAnsi="仿宋_GB2312" w:eastAsia="仿宋_GB2312" w:cs="仿宋_GB2312"/>
                <w:color w:val="000000"/>
                <w:sz w:val="24"/>
                <w:highlight w:val="none"/>
                <w:shd w:val="clear" w:fill="FFFFFF"/>
              </w:rPr>
              <w:t>1</w:t>
            </w:r>
          </w:p>
        </w:tc>
        <w:tc>
          <w:tcPr>
            <w:tcW w:w="1020" w:type="dxa"/>
            <w:tcBorders>
              <w:top w:val="nil"/>
              <w:left w:val="nil"/>
              <w:bottom w:val="single" w:color="000000" w:sz="4" w:space="0"/>
              <w:right w:val="single" w:color="000000" w:sz="4" w:space="0"/>
            </w:tcBorders>
            <w:tcMar>
              <w:top w:w="0" w:type="dxa"/>
              <w:left w:w="105" w:type="dxa"/>
              <w:bottom w:w="0" w:type="dxa"/>
              <w:right w:w="105" w:type="dxa"/>
            </w:tcMar>
            <w:vAlign w:val="top"/>
          </w:tcPr>
          <w:p w14:paraId="225AF819">
            <w:pPr>
              <w:pStyle w:val="4"/>
              <w:jc w:val="center"/>
              <w:rPr>
                <w:highlight w:val="none"/>
              </w:rPr>
            </w:pPr>
            <w:r>
              <w:rPr>
                <w:rFonts w:ascii="仿宋_GB2312" w:hAnsi="仿宋_GB2312" w:eastAsia="仿宋_GB2312" w:cs="仿宋_GB2312"/>
                <w:color w:val="000000"/>
                <w:sz w:val="24"/>
                <w:highlight w:val="none"/>
                <w:shd w:val="clear" w:fill="FFFFFF"/>
              </w:rPr>
              <w:t>部</w:t>
            </w:r>
          </w:p>
        </w:tc>
      </w:tr>
    </w:tbl>
    <w:p w14:paraId="62408748">
      <w:pPr>
        <w:pStyle w:val="4"/>
        <w:ind w:firstLine="480"/>
        <w:jc w:val="both"/>
        <w:rPr>
          <w:highlight w:val="none"/>
        </w:rPr>
      </w:pPr>
      <w:r>
        <w:rPr>
          <w:rFonts w:ascii="仿宋_GB2312" w:hAnsi="仿宋_GB2312" w:eastAsia="仿宋_GB2312" w:cs="仿宋_GB2312"/>
          <w:color w:val="000000"/>
          <w:sz w:val="24"/>
          <w:highlight w:val="none"/>
          <w:shd w:val="clear" w:fill="FFFFFF"/>
        </w:rPr>
        <w:t>2.中标人需按需在合同签订之日起15日内投入物资，设施设备详见清单（投标时须提供承诺书，</w:t>
      </w:r>
      <w:r>
        <w:rPr>
          <w:rFonts w:ascii="仿宋_GB2312" w:hAnsi="仿宋_GB2312" w:eastAsia="仿宋_GB2312" w:cs="仿宋_GB2312"/>
          <w:b/>
          <w:color w:val="000000"/>
          <w:sz w:val="24"/>
          <w:highlight w:val="none"/>
          <w:shd w:val="clear" w:fill="FFFFFF"/>
        </w:rPr>
        <w:t>否则投标无效</w:t>
      </w:r>
      <w:r>
        <w:rPr>
          <w:rFonts w:ascii="仿宋_GB2312" w:hAnsi="仿宋_GB2312" w:eastAsia="仿宋_GB2312" w:cs="仿宋_GB2312"/>
          <w:color w:val="000000"/>
          <w:sz w:val="24"/>
          <w:highlight w:val="none"/>
          <w:shd w:val="clear" w:fill="FFFFFF"/>
        </w:rPr>
        <w:t>），包括但不限于以下内容：</w:t>
      </w:r>
    </w:p>
    <w:p w14:paraId="604713B0">
      <w:pPr>
        <w:pStyle w:val="4"/>
        <w:ind w:firstLine="480"/>
        <w:jc w:val="both"/>
        <w:rPr>
          <w:highlight w:val="none"/>
        </w:rPr>
      </w:pPr>
      <w:r>
        <w:rPr>
          <w:rFonts w:ascii="仿宋_GB2312" w:hAnsi="仿宋_GB2312" w:eastAsia="仿宋_GB2312" w:cs="仿宋_GB2312"/>
          <w:color w:val="000000"/>
          <w:sz w:val="24"/>
          <w:highlight w:val="none"/>
          <w:shd w:val="clear" w:fill="FFFFFF"/>
        </w:rPr>
        <w:t>2.1日常办公设备及物料：办公桌椅、档案柜、物料架、电脑、打印机、复印机、办公耗材、人员服装等；</w:t>
      </w:r>
    </w:p>
    <w:p w14:paraId="1DC1ADF6">
      <w:pPr>
        <w:pStyle w:val="4"/>
        <w:ind w:firstLine="480"/>
        <w:jc w:val="both"/>
        <w:rPr>
          <w:highlight w:val="none"/>
        </w:rPr>
      </w:pPr>
      <w:r>
        <w:rPr>
          <w:rFonts w:ascii="仿宋_GB2312" w:hAnsi="仿宋_GB2312" w:eastAsia="仿宋_GB2312" w:cs="仿宋_GB2312"/>
          <w:color w:val="000000"/>
          <w:sz w:val="24"/>
          <w:highlight w:val="none"/>
          <w:shd w:val="clear" w:fill="FFFFFF"/>
        </w:rPr>
        <w:t>2.2保洁设备及物料：全自动洗地机、快速保洁车、机械扫地车、高压清洗机、吸尘吸水机、扫地车、管道疏通机（大、小）等保洁设备、工具、耗材、劳保用品、洗涤用品、樟脑丸、分类垃圾桶等；</w:t>
      </w:r>
    </w:p>
    <w:p w14:paraId="3B852E86">
      <w:pPr>
        <w:pStyle w:val="4"/>
        <w:spacing w:before="105" w:after="105"/>
        <w:ind w:firstLine="482"/>
        <w:jc w:val="both"/>
        <w:rPr>
          <w:highlight w:val="none"/>
        </w:rPr>
      </w:pPr>
      <w:r>
        <w:rPr>
          <w:rFonts w:ascii="仿宋_GB2312" w:hAnsi="仿宋_GB2312" w:eastAsia="仿宋_GB2312" w:cs="仿宋_GB2312"/>
          <w:color w:val="000000"/>
          <w:sz w:val="24"/>
          <w:highlight w:val="none"/>
          <w:shd w:val="clear" w:fill="FFFFFF"/>
        </w:rPr>
        <w:t>2.3设施设备日常运行、维修及保养设备及物料：常用维修工具设备：电焊机、电锤、手电钻、角磨机、PPR水管热熔机等，劳保用品，高低压配电（含安全用具等）、零星维修材料。</w:t>
      </w:r>
    </w:p>
    <w:p w14:paraId="03ED2EC5">
      <w:pPr>
        <w:pStyle w:val="4"/>
        <w:ind w:firstLine="480"/>
        <w:jc w:val="both"/>
        <w:rPr>
          <w:highlight w:val="none"/>
        </w:rPr>
      </w:pPr>
      <w:r>
        <w:rPr>
          <w:rFonts w:ascii="仿宋_GB2312" w:hAnsi="仿宋_GB2312" w:eastAsia="仿宋_GB2312" w:cs="仿宋_GB2312"/>
          <w:color w:val="000000"/>
          <w:sz w:val="24"/>
          <w:highlight w:val="none"/>
          <w:shd w:val="clear" w:fill="FFFFFF"/>
        </w:rPr>
        <w:t>2.4绿化养护设施设备及物料：肥料、花籽、防病虫害等农药，修枝剪、高枝剪、油锯、割草机、绿篱机、打药机、打孔机、洒水车、高空作业车等；</w:t>
      </w:r>
    </w:p>
    <w:p w14:paraId="29D36CDB">
      <w:pPr>
        <w:pStyle w:val="4"/>
        <w:ind w:firstLine="480"/>
        <w:jc w:val="both"/>
        <w:rPr>
          <w:highlight w:val="none"/>
        </w:rPr>
      </w:pPr>
      <w:r>
        <w:rPr>
          <w:rFonts w:ascii="仿宋_GB2312" w:hAnsi="仿宋_GB2312" w:eastAsia="仿宋_GB2312" w:cs="仿宋_GB2312"/>
          <w:color w:val="000000"/>
          <w:sz w:val="24"/>
          <w:highlight w:val="none"/>
          <w:shd w:val="clear" w:fill="FFFFFF"/>
        </w:rPr>
        <w:t>2.5抗台防汛等应急设备及物料：沙袋、雨衣雨鞋、防洪救生衣、手电等。</w:t>
      </w:r>
    </w:p>
    <w:p w14:paraId="710C865F">
      <w:pPr>
        <w:pStyle w:val="4"/>
        <w:ind w:firstLine="480"/>
        <w:jc w:val="both"/>
        <w:rPr>
          <w:highlight w:val="none"/>
        </w:rPr>
      </w:pPr>
      <w:r>
        <w:rPr>
          <w:rFonts w:ascii="仿宋_GB2312" w:hAnsi="仿宋_GB2312" w:eastAsia="仿宋_GB2312" w:cs="仿宋_GB2312"/>
          <w:color w:val="000000"/>
          <w:sz w:val="24"/>
          <w:highlight w:val="none"/>
          <w:shd w:val="clear" w:fill="FFFFFF"/>
        </w:rPr>
        <w:t>2.6主要</w:t>
      </w:r>
      <w:r>
        <w:rPr>
          <w:rFonts w:ascii="仿宋_GB2312" w:hAnsi="仿宋_GB2312" w:eastAsia="仿宋_GB2312" w:cs="仿宋_GB2312"/>
          <w:color w:val="000000"/>
          <w:sz w:val="24"/>
          <w:highlight w:val="none"/>
        </w:rPr>
        <w:t>设施设备清单</w:t>
      </w:r>
    </w:p>
    <w:tbl>
      <w:tblPr>
        <w:tblStyle w:val="2"/>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1315"/>
        <w:gridCol w:w="3116"/>
        <w:gridCol w:w="1458"/>
        <w:gridCol w:w="1258"/>
        <w:gridCol w:w="1115"/>
      </w:tblGrid>
      <w:tr w14:paraId="30F4604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262" w:type="dxa"/>
            <w:gridSpan w:val="5"/>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395670D9">
            <w:pPr>
              <w:pStyle w:val="4"/>
              <w:jc w:val="center"/>
              <w:rPr>
                <w:highlight w:val="none"/>
              </w:rPr>
            </w:pPr>
            <w:r>
              <w:rPr>
                <w:rFonts w:ascii="仿宋_GB2312" w:hAnsi="仿宋_GB2312" w:eastAsia="仿宋_GB2312" w:cs="仿宋_GB2312"/>
                <w:color w:val="000000"/>
                <w:sz w:val="24"/>
                <w:highlight w:val="none"/>
              </w:rPr>
              <w:t>需投入设施设备清单</w:t>
            </w:r>
          </w:p>
        </w:tc>
      </w:tr>
      <w:tr w14:paraId="4F93694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1BD03798">
            <w:pPr>
              <w:pStyle w:val="4"/>
              <w:jc w:val="center"/>
              <w:rPr>
                <w:highlight w:val="none"/>
              </w:rPr>
            </w:pPr>
            <w:r>
              <w:rPr>
                <w:rFonts w:ascii="仿宋_GB2312" w:hAnsi="仿宋_GB2312" w:eastAsia="仿宋_GB2312" w:cs="仿宋_GB2312"/>
                <w:color w:val="000000"/>
                <w:sz w:val="24"/>
                <w:highlight w:val="none"/>
              </w:rPr>
              <w:t>序号</w:t>
            </w:r>
          </w:p>
        </w:tc>
        <w:tc>
          <w:tcPr>
            <w:tcW w:w="3116" w:type="dxa"/>
            <w:tcBorders>
              <w:top w:val="single" w:color="000000" w:sz="4" w:space="0"/>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4322608E">
            <w:pPr>
              <w:pStyle w:val="4"/>
              <w:jc w:val="center"/>
              <w:rPr>
                <w:highlight w:val="none"/>
              </w:rPr>
            </w:pPr>
            <w:r>
              <w:rPr>
                <w:rFonts w:ascii="仿宋_GB2312" w:hAnsi="仿宋_GB2312" w:eastAsia="仿宋_GB2312" w:cs="仿宋_GB2312"/>
                <w:color w:val="000000"/>
                <w:sz w:val="24"/>
                <w:highlight w:val="none"/>
              </w:rPr>
              <w:t>设施设备</w:t>
            </w:r>
          </w:p>
        </w:tc>
        <w:tc>
          <w:tcPr>
            <w:tcW w:w="1458" w:type="dxa"/>
            <w:tcBorders>
              <w:top w:val="single" w:color="000000" w:sz="4" w:space="0"/>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36374644">
            <w:pPr>
              <w:pStyle w:val="4"/>
              <w:jc w:val="center"/>
              <w:rPr>
                <w:highlight w:val="none"/>
              </w:rPr>
            </w:pPr>
            <w:r>
              <w:rPr>
                <w:rFonts w:ascii="仿宋_GB2312" w:hAnsi="仿宋_GB2312" w:eastAsia="仿宋_GB2312" w:cs="仿宋_GB2312"/>
                <w:color w:val="000000"/>
                <w:sz w:val="24"/>
                <w:highlight w:val="none"/>
              </w:rPr>
              <w:t>单位</w:t>
            </w:r>
          </w:p>
        </w:tc>
        <w:tc>
          <w:tcPr>
            <w:tcW w:w="1258" w:type="dxa"/>
            <w:tcBorders>
              <w:top w:val="single" w:color="000000" w:sz="4" w:space="0"/>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4B22964B">
            <w:pPr>
              <w:pStyle w:val="4"/>
              <w:jc w:val="center"/>
              <w:rPr>
                <w:highlight w:val="none"/>
              </w:rPr>
            </w:pPr>
            <w:r>
              <w:rPr>
                <w:rFonts w:ascii="仿宋_GB2312" w:hAnsi="仿宋_GB2312" w:eastAsia="仿宋_GB2312" w:cs="仿宋_GB2312"/>
                <w:color w:val="000000"/>
                <w:sz w:val="24"/>
                <w:highlight w:val="none"/>
              </w:rPr>
              <w:t>数量</w:t>
            </w:r>
          </w:p>
        </w:tc>
        <w:tc>
          <w:tcPr>
            <w:tcW w:w="1115" w:type="dxa"/>
            <w:tcBorders>
              <w:top w:val="single" w:color="000000" w:sz="4" w:space="0"/>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4620699F">
            <w:pPr>
              <w:pStyle w:val="4"/>
              <w:jc w:val="center"/>
              <w:rPr>
                <w:highlight w:val="none"/>
              </w:rPr>
            </w:pPr>
            <w:r>
              <w:rPr>
                <w:rFonts w:ascii="仿宋_GB2312" w:hAnsi="仿宋_GB2312" w:eastAsia="仿宋_GB2312" w:cs="仿宋_GB2312"/>
                <w:color w:val="000000"/>
                <w:sz w:val="24"/>
                <w:highlight w:val="none"/>
              </w:rPr>
              <w:t>备注</w:t>
            </w:r>
          </w:p>
        </w:tc>
      </w:tr>
      <w:tr w14:paraId="26EBC88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7D0A6759">
            <w:pPr>
              <w:pStyle w:val="4"/>
              <w:jc w:val="center"/>
              <w:rPr>
                <w:highlight w:val="none"/>
              </w:rPr>
            </w:pPr>
            <w:r>
              <w:rPr>
                <w:rFonts w:ascii="仿宋_GB2312" w:hAnsi="仿宋_GB2312" w:eastAsia="仿宋_GB2312" w:cs="仿宋_GB2312"/>
                <w:color w:val="000000"/>
                <w:sz w:val="24"/>
                <w:highlight w:val="none"/>
              </w:rPr>
              <w:t>1</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2551A449">
            <w:pPr>
              <w:pStyle w:val="4"/>
              <w:jc w:val="center"/>
              <w:rPr>
                <w:highlight w:val="none"/>
              </w:rPr>
            </w:pPr>
            <w:r>
              <w:rPr>
                <w:rFonts w:ascii="仿宋_GB2312" w:hAnsi="仿宋_GB2312" w:eastAsia="仿宋_GB2312" w:cs="仿宋_GB2312"/>
                <w:color w:val="000000"/>
                <w:sz w:val="24"/>
                <w:highlight w:val="none"/>
              </w:rPr>
              <w:t>吸粪车</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2317260E">
            <w:pPr>
              <w:pStyle w:val="4"/>
              <w:jc w:val="center"/>
              <w:rPr>
                <w:highlight w:val="none"/>
              </w:rPr>
            </w:pPr>
            <w:r>
              <w:rPr>
                <w:rFonts w:ascii="仿宋_GB2312" w:hAnsi="仿宋_GB2312" w:eastAsia="仿宋_GB2312" w:cs="仿宋_GB2312"/>
                <w:color w:val="000000"/>
                <w:sz w:val="24"/>
                <w:highlight w:val="none"/>
              </w:rPr>
              <w:t>辆</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12EC96D6">
            <w:pPr>
              <w:pStyle w:val="4"/>
              <w:jc w:val="center"/>
              <w:rPr>
                <w:highlight w:val="none"/>
              </w:rPr>
            </w:pPr>
            <w:r>
              <w:rPr>
                <w:rFonts w:ascii="仿宋_GB2312" w:hAnsi="仿宋_GB2312" w:eastAsia="仿宋_GB2312" w:cs="仿宋_GB2312"/>
                <w:color w:val="000000"/>
                <w:sz w:val="24"/>
                <w:highlight w:val="none"/>
              </w:rPr>
              <w:t>1</w:t>
            </w:r>
          </w:p>
        </w:tc>
        <w:tc>
          <w:tcPr>
            <w:tcW w:w="1115"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125797A4">
            <w:pPr>
              <w:pStyle w:val="4"/>
              <w:jc w:val="center"/>
              <w:rPr>
                <w:highlight w:val="none"/>
              </w:rPr>
            </w:pPr>
            <w:r>
              <w:rPr>
                <w:rFonts w:ascii="仿宋_GB2312" w:hAnsi="仿宋_GB2312" w:eastAsia="仿宋_GB2312" w:cs="仿宋_GB2312"/>
                <w:color w:val="000000"/>
                <w:sz w:val="24"/>
                <w:highlight w:val="none"/>
              </w:rPr>
              <w:t>可租赁</w:t>
            </w:r>
          </w:p>
        </w:tc>
      </w:tr>
      <w:tr w14:paraId="11FF385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6A1C760E">
            <w:pPr>
              <w:pStyle w:val="4"/>
              <w:jc w:val="center"/>
              <w:rPr>
                <w:highlight w:val="none"/>
              </w:rPr>
            </w:pPr>
            <w:r>
              <w:rPr>
                <w:rFonts w:ascii="仿宋_GB2312" w:hAnsi="仿宋_GB2312" w:eastAsia="仿宋_GB2312" w:cs="仿宋_GB2312"/>
                <w:color w:val="000000"/>
                <w:sz w:val="24"/>
                <w:highlight w:val="none"/>
              </w:rPr>
              <w:t>2</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3471B572">
            <w:pPr>
              <w:pStyle w:val="4"/>
              <w:jc w:val="center"/>
              <w:rPr>
                <w:highlight w:val="none"/>
              </w:rPr>
            </w:pPr>
            <w:r>
              <w:rPr>
                <w:rFonts w:ascii="仿宋_GB2312" w:hAnsi="仿宋_GB2312" w:eastAsia="仿宋_GB2312" w:cs="仿宋_GB2312"/>
                <w:color w:val="000000"/>
                <w:sz w:val="24"/>
                <w:highlight w:val="none"/>
              </w:rPr>
              <w:t>室外洗扫车</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494FE58D">
            <w:pPr>
              <w:pStyle w:val="4"/>
              <w:jc w:val="center"/>
              <w:rPr>
                <w:highlight w:val="none"/>
              </w:rPr>
            </w:pPr>
            <w:r>
              <w:rPr>
                <w:rFonts w:ascii="仿宋_GB2312" w:hAnsi="仿宋_GB2312" w:eastAsia="仿宋_GB2312" w:cs="仿宋_GB2312"/>
                <w:color w:val="000000"/>
                <w:sz w:val="24"/>
                <w:highlight w:val="none"/>
              </w:rPr>
              <w:t>辆</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5C4AB7E8">
            <w:pPr>
              <w:pStyle w:val="4"/>
              <w:jc w:val="center"/>
              <w:rPr>
                <w:highlight w:val="none"/>
              </w:rPr>
            </w:pPr>
            <w:r>
              <w:rPr>
                <w:rFonts w:ascii="仿宋_GB2312" w:hAnsi="仿宋_GB2312" w:eastAsia="仿宋_GB2312" w:cs="仿宋_GB2312"/>
                <w:color w:val="000000"/>
                <w:sz w:val="24"/>
                <w:highlight w:val="none"/>
              </w:rPr>
              <w:t>1</w:t>
            </w:r>
          </w:p>
        </w:tc>
        <w:tc>
          <w:tcPr>
            <w:tcW w:w="1115"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4A38593B">
            <w:pPr>
              <w:pStyle w:val="4"/>
              <w:jc w:val="center"/>
              <w:rPr>
                <w:highlight w:val="none"/>
              </w:rPr>
            </w:pPr>
            <w:r>
              <w:rPr>
                <w:rFonts w:ascii="仿宋_GB2312" w:hAnsi="仿宋_GB2312" w:eastAsia="仿宋_GB2312" w:cs="仿宋_GB2312"/>
                <w:color w:val="000000"/>
                <w:sz w:val="24"/>
                <w:highlight w:val="none"/>
              </w:rPr>
              <w:t>可租赁</w:t>
            </w:r>
          </w:p>
        </w:tc>
      </w:tr>
      <w:tr w14:paraId="769EF92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22F51DC0">
            <w:pPr>
              <w:pStyle w:val="4"/>
              <w:jc w:val="center"/>
              <w:rPr>
                <w:highlight w:val="none"/>
              </w:rPr>
            </w:pPr>
            <w:r>
              <w:rPr>
                <w:rFonts w:ascii="仿宋_GB2312" w:hAnsi="仿宋_GB2312" w:eastAsia="仿宋_GB2312" w:cs="仿宋_GB2312"/>
                <w:color w:val="000000"/>
                <w:sz w:val="24"/>
                <w:highlight w:val="none"/>
              </w:rPr>
              <w:t>3</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4217496F">
            <w:pPr>
              <w:pStyle w:val="4"/>
              <w:jc w:val="center"/>
              <w:rPr>
                <w:highlight w:val="none"/>
              </w:rPr>
            </w:pPr>
            <w:r>
              <w:rPr>
                <w:rFonts w:ascii="仿宋_GB2312" w:hAnsi="仿宋_GB2312" w:eastAsia="仿宋_GB2312" w:cs="仿宋_GB2312"/>
                <w:color w:val="000000"/>
                <w:sz w:val="24"/>
                <w:highlight w:val="none"/>
              </w:rPr>
              <w:t>驾驶式室内洗拖一休车</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2257D0B5">
            <w:pPr>
              <w:pStyle w:val="4"/>
              <w:jc w:val="center"/>
              <w:rPr>
                <w:highlight w:val="none"/>
              </w:rPr>
            </w:pPr>
            <w:r>
              <w:rPr>
                <w:rFonts w:ascii="仿宋_GB2312" w:hAnsi="仿宋_GB2312" w:eastAsia="仿宋_GB2312" w:cs="仿宋_GB2312"/>
                <w:color w:val="000000"/>
                <w:sz w:val="24"/>
                <w:highlight w:val="none"/>
              </w:rPr>
              <w:t>辆</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38EB4EC5">
            <w:pPr>
              <w:pStyle w:val="4"/>
              <w:jc w:val="center"/>
              <w:rPr>
                <w:highlight w:val="none"/>
              </w:rPr>
            </w:pPr>
            <w:r>
              <w:rPr>
                <w:rFonts w:ascii="仿宋_GB2312" w:hAnsi="仿宋_GB2312" w:eastAsia="仿宋_GB2312" w:cs="仿宋_GB2312"/>
                <w:color w:val="000000"/>
                <w:sz w:val="24"/>
                <w:highlight w:val="none"/>
              </w:rPr>
              <w:t>1</w:t>
            </w:r>
          </w:p>
        </w:tc>
        <w:tc>
          <w:tcPr>
            <w:tcW w:w="1115"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70B6702F">
            <w:pPr>
              <w:pStyle w:val="4"/>
              <w:jc w:val="center"/>
              <w:rPr>
                <w:highlight w:val="none"/>
              </w:rPr>
            </w:pPr>
            <w:r>
              <w:rPr>
                <w:rFonts w:ascii="仿宋_GB2312" w:hAnsi="仿宋_GB2312" w:eastAsia="仿宋_GB2312" w:cs="仿宋_GB2312"/>
                <w:color w:val="000000"/>
                <w:sz w:val="24"/>
                <w:highlight w:val="none"/>
              </w:rPr>
              <w:t>可租赁</w:t>
            </w:r>
          </w:p>
        </w:tc>
      </w:tr>
      <w:tr w14:paraId="239B7E5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3D19B3C6">
            <w:pPr>
              <w:pStyle w:val="4"/>
              <w:jc w:val="center"/>
              <w:rPr>
                <w:highlight w:val="none"/>
              </w:rPr>
            </w:pPr>
            <w:r>
              <w:rPr>
                <w:rFonts w:ascii="仿宋_GB2312" w:hAnsi="仿宋_GB2312" w:eastAsia="仿宋_GB2312" w:cs="仿宋_GB2312"/>
                <w:color w:val="000000"/>
                <w:sz w:val="24"/>
                <w:highlight w:val="none"/>
              </w:rPr>
              <w:t>4</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189C86F8">
            <w:pPr>
              <w:pStyle w:val="4"/>
              <w:jc w:val="center"/>
              <w:rPr>
                <w:highlight w:val="none"/>
              </w:rPr>
            </w:pPr>
            <w:r>
              <w:rPr>
                <w:rFonts w:ascii="仿宋_GB2312" w:hAnsi="仿宋_GB2312" w:eastAsia="仿宋_GB2312" w:cs="仿宋_GB2312"/>
                <w:color w:val="000000"/>
                <w:sz w:val="24"/>
                <w:highlight w:val="none"/>
              </w:rPr>
              <w:t>高压冲洗车（电动型）</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63452584">
            <w:pPr>
              <w:pStyle w:val="4"/>
              <w:jc w:val="center"/>
              <w:rPr>
                <w:highlight w:val="none"/>
              </w:rPr>
            </w:pPr>
            <w:r>
              <w:rPr>
                <w:rFonts w:ascii="仿宋_GB2312" w:hAnsi="仿宋_GB2312" w:eastAsia="仿宋_GB2312" w:cs="仿宋_GB2312"/>
                <w:color w:val="000000"/>
                <w:sz w:val="24"/>
                <w:highlight w:val="none"/>
              </w:rPr>
              <w:t>辆</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18BD5F46">
            <w:pPr>
              <w:pStyle w:val="4"/>
              <w:jc w:val="center"/>
              <w:rPr>
                <w:highlight w:val="none"/>
              </w:rPr>
            </w:pPr>
            <w:r>
              <w:rPr>
                <w:rFonts w:ascii="仿宋_GB2312" w:hAnsi="仿宋_GB2312" w:eastAsia="仿宋_GB2312" w:cs="仿宋_GB2312"/>
                <w:color w:val="000000"/>
                <w:sz w:val="24"/>
                <w:highlight w:val="none"/>
              </w:rPr>
              <w:t>1</w:t>
            </w:r>
          </w:p>
        </w:tc>
        <w:tc>
          <w:tcPr>
            <w:tcW w:w="1115"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0F8B6BAC">
            <w:pPr>
              <w:pStyle w:val="4"/>
              <w:jc w:val="center"/>
              <w:rPr>
                <w:highlight w:val="none"/>
              </w:rPr>
            </w:pPr>
            <w:r>
              <w:rPr>
                <w:rFonts w:ascii="仿宋_GB2312" w:hAnsi="仿宋_GB2312" w:eastAsia="仿宋_GB2312" w:cs="仿宋_GB2312"/>
                <w:color w:val="000000"/>
                <w:sz w:val="24"/>
                <w:highlight w:val="none"/>
              </w:rPr>
              <w:t>可租赁</w:t>
            </w:r>
          </w:p>
        </w:tc>
      </w:tr>
      <w:tr w14:paraId="2E04499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0AA88088">
            <w:pPr>
              <w:pStyle w:val="4"/>
              <w:jc w:val="center"/>
              <w:rPr>
                <w:highlight w:val="none"/>
              </w:rPr>
            </w:pPr>
            <w:r>
              <w:rPr>
                <w:rFonts w:ascii="仿宋_GB2312" w:hAnsi="仿宋_GB2312" w:eastAsia="仿宋_GB2312" w:cs="仿宋_GB2312"/>
                <w:color w:val="000000"/>
                <w:sz w:val="24"/>
                <w:highlight w:val="none"/>
              </w:rPr>
              <w:t>5</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1495DD8A">
            <w:pPr>
              <w:pStyle w:val="4"/>
              <w:jc w:val="center"/>
              <w:rPr>
                <w:highlight w:val="none"/>
              </w:rPr>
            </w:pPr>
            <w:r>
              <w:rPr>
                <w:rFonts w:ascii="仿宋_GB2312" w:hAnsi="仿宋_GB2312" w:eastAsia="仿宋_GB2312" w:cs="仿宋_GB2312"/>
                <w:color w:val="000000"/>
                <w:sz w:val="24"/>
                <w:highlight w:val="none"/>
              </w:rPr>
              <w:t>垃圾收集车（电动型）</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1E123DF5">
            <w:pPr>
              <w:pStyle w:val="4"/>
              <w:jc w:val="center"/>
              <w:rPr>
                <w:highlight w:val="none"/>
              </w:rPr>
            </w:pPr>
            <w:r>
              <w:rPr>
                <w:rFonts w:ascii="仿宋_GB2312" w:hAnsi="仿宋_GB2312" w:eastAsia="仿宋_GB2312" w:cs="仿宋_GB2312"/>
                <w:color w:val="000000"/>
                <w:sz w:val="24"/>
                <w:highlight w:val="none"/>
              </w:rPr>
              <w:t>辆</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151840D8">
            <w:pPr>
              <w:pStyle w:val="4"/>
              <w:jc w:val="center"/>
              <w:rPr>
                <w:highlight w:val="none"/>
              </w:rPr>
            </w:pPr>
            <w:r>
              <w:rPr>
                <w:rFonts w:ascii="仿宋_GB2312" w:hAnsi="仿宋_GB2312" w:eastAsia="仿宋_GB2312" w:cs="仿宋_GB2312"/>
                <w:color w:val="000000"/>
                <w:sz w:val="24"/>
                <w:highlight w:val="none"/>
              </w:rPr>
              <w:t>2</w:t>
            </w:r>
          </w:p>
        </w:tc>
        <w:tc>
          <w:tcPr>
            <w:tcW w:w="1115"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3C638721">
            <w:pPr>
              <w:pStyle w:val="4"/>
              <w:jc w:val="center"/>
              <w:rPr>
                <w:highlight w:val="none"/>
              </w:rPr>
            </w:pPr>
            <w:r>
              <w:rPr>
                <w:rFonts w:ascii="仿宋_GB2312" w:hAnsi="仿宋_GB2312" w:eastAsia="仿宋_GB2312" w:cs="仿宋_GB2312"/>
                <w:color w:val="000000"/>
                <w:sz w:val="24"/>
                <w:highlight w:val="none"/>
              </w:rPr>
              <w:t>可租赁</w:t>
            </w:r>
          </w:p>
        </w:tc>
      </w:tr>
      <w:tr w14:paraId="776BF98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6176494A">
            <w:pPr>
              <w:pStyle w:val="4"/>
              <w:jc w:val="center"/>
              <w:rPr>
                <w:highlight w:val="none"/>
              </w:rPr>
            </w:pPr>
            <w:r>
              <w:rPr>
                <w:rFonts w:ascii="仿宋_GB2312" w:hAnsi="仿宋_GB2312" w:eastAsia="仿宋_GB2312" w:cs="仿宋_GB2312"/>
                <w:color w:val="000000"/>
                <w:sz w:val="24"/>
                <w:highlight w:val="none"/>
              </w:rPr>
              <w:t>6</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5EA1A843">
            <w:pPr>
              <w:pStyle w:val="4"/>
              <w:jc w:val="center"/>
              <w:rPr>
                <w:highlight w:val="none"/>
              </w:rPr>
            </w:pPr>
            <w:r>
              <w:rPr>
                <w:rFonts w:ascii="仿宋_GB2312" w:hAnsi="仿宋_GB2312" w:eastAsia="仿宋_GB2312" w:cs="仿宋_GB2312"/>
                <w:color w:val="000000"/>
                <w:sz w:val="24"/>
                <w:highlight w:val="none"/>
              </w:rPr>
              <w:t>保洁环卫车（带方斗）</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0858FF99">
            <w:pPr>
              <w:pStyle w:val="4"/>
              <w:jc w:val="center"/>
              <w:rPr>
                <w:highlight w:val="none"/>
              </w:rPr>
            </w:pPr>
            <w:r>
              <w:rPr>
                <w:rFonts w:ascii="仿宋_GB2312" w:hAnsi="仿宋_GB2312" w:eastAsia="仿宋_GB2312" w:cs="仿宋_GB2312"/>
                <w:color w:val="000000"/>
                <w:sz w:val="24"/>
                <w:highlight w:val="none"/>
              </w:rPr>
              <w:t>辆</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79E40973">
            <w:pPr>
              <w:pStyle w:val="4"/>
              <w:jc w:val="center"/>
              <w:rPr>
                <w:highlight w:val="none"/>
              </w:rPr>
            </w:pPr>
            <w:r>
              <w:rPr>
                <w:rFonts w:ascii="仿宋_GB2312" w:hAnsi="仿宋_GB2312" w:eastAsia="仿宋_GB2312" w:cs="仿宋_GB2312"/>
                <w:color w:val="000000"/>
                <w:sz w:val="24"/>
                <w:highlight w:val="none"/>
              </w:rPr>
              <w:t>2</w:t>
            </w:r>
          </w:p>
        </w:tc>
        <w:tc>
          <w:tcPr>
            <w:tcW w:w="1115"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7207C703">
            <w:pPr>
              <w:pStyle w:val="4"/>
              <w:jc w:val="center"/>
              <w:rPr>
                <w:highlight w:val="none"/>
              </w:rPr>
            </w:pPr>
          </w:p>
        </w:tc>
      </w:tr>
      <w:tr w14:paraId="5F56ECF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4EC904D5">
            <w:pPr>
              <w:pStyle w:val="4"/>
              <w:jc w:val="center"/>
              <w:rPr>
                <w:highlight w:val="none"/>
              </w:rPr>
            </w:pPr>
            <w:r>
              <w:rPr>
                <w:rFonts w:ascii="仿宋_GB2312" w:hAnsi="仿宋_GB2312" w:eastAsia="仿宋_GB2312" w:cs="仿宋_GB2312"/>
                <w:color w:val="000000"/>
                <w:sz w:val="24"/>
                <w:highlight w:val="none"/>
              </w:rPr>
              <w:t>7</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572B6F31">
            <w:pPr>
              <w:pStyle w:val="4"/>
              <w:jc w:val="center"/>
              <w:rPr>
                <w:highlight w:val="none"/>
              </w:rPr>
            </w:pPr>
            <w:r>
              <w:rPr>
                <w:rFonts w:ascii="仿宋_GB2312" w:hAnsi="仿宋_GB2312" w:eastAsia="仿宋_GB2312" w:cs="仿宋_GB2312"/>
                <w:color w:val="000000"/>
                <w:sz w:val="24"/>
                <w:highlight w:val="none"/>
              </w:rPr>
              <w:t>电动真空吸尘器</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165B85A6">
            <w:pPr>
              <w:pStyle w:val="4"/>
              <w:jc w:val="center"/>
              <w:rPr>
                <w:highlight w:val="none"/>
              </w:rPr>
            </w:pPr>
            <w:r>
              <w:rPr>
                <w:rFonts w:ascii="仿宋_GB2312" w:hAnsi="仿宋_GB2312" w:eastAsia="仿宋_GB2312" w:cs="仿宋_GB2312"/>
                <w:color w:val="000000"/>
                <w:sz w:val="24"/>
                <w:highlight w:val="none"/>
              </w:rPr>
              <w:t>个</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1EDDC5FA">
            <w:pPr>
              <w:pStyle w:val="4"/>
              <w:jc w:val="center"/>
              <w:rPr>
                <w:highlight w:val="none"/>
              </w:rPr>
            </w:pPr>
            <w:r>
              <w:rPr>
                <w:rFonts w:ascii="仿宋_GB2312" w:hAnsi="仿宋_GB2312" w:eastAsia="仿宋_GB2312" w:cs="仿宋_GB2312"/>
                <w:color w:val="000000"/>
                <w:sz w:val="24"/>
                <w:highlight w:val="none"/>
              </w:rPr>
              <w:t>2</w:t>
            </w:r>
          </w:p>
        </w:tc>
        <w:tc>
          <w:tcPr>
            <w:tcW w:w="1115"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7B142164">
            <w:pPr>
              <w:pStyle w:val="4"/>
              <w:jc w:val="center"/>
              <w:rPr>
                <w:highlight w:val="none"/>
              </w:rPr>
            </w:pPr>
          </w:p>
        </w:tc>
      </w:tr>
      <w:tr w14:paraId="7A808C4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10B480DA">
            <w:pPr>
              <w:pStyle w:val="4"/>
              <w:jc w:val="center"/>
              <w:rPr>
                <w:highlight w:val="none"/>
              </w:rPr>
            </w:pPr>
            <w:r>
              <w:rPr>
                <w:rFonts w:ascii="仿宋_GB2312" w:hAnsi="仿宋_GB2312" w:eastAsia="仿宋_GB2312" w:cs="仿宋_GB2312"/>
                <w:color w:val="000000"/>
                <w:sz w:val="24"/>
                <w:highlight w:val="none"/>
              </w:rPr>
              <w:t>8</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0D732D4C">
            <w:pPr>
              <w:pStyle w:val="4"/>
              <w:jc w:val="center"/>
              <w:rPr>
                <w:highlight w:val="none"/>
              </w:rPr>
            </w:pPr>
            <w:r>
              <w:rPr>
                <w:rFonts w:ascii="仿宋_GB2312" w:hAnsi="仿宋_GB2312" w:eastAsia="仿宋_GB2312" w:cs="仿宋_GB2312"/>
                <w:color w:val="000000"/>
                <w:sz w:val="24"/>
                <w:highlight w:val="none"/>
              </w:rPr>
              <w:t>烟雾型杀虫机</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5625146E">
            <w:pPr>
              <w:pStyle w:val="4"/>
              <w:jc w:val="center"/>
              <w:rPr>
                <w:highlight w:val="none"/>
              </w:rPr>
            </w:pPr>
            <w:r>
              <w:rPr>
                <w:rFonts w:ascii="仿宋_GB2312" w:hAnsi="仿宋_GB2312" w:eastAsia="仿宋_GB2312" w:cs="仿宋_GB2312"/>
                <w:color w:val="000000"/>
                <w:sz w:val="24"/>
                <w:highlight w:val="none"/>
              </w:rPr>
              <w:t>台</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5886D333">
            <w:pPr>
              <w:pStyle w:val="4"/>
              <w:jc w:val="center"/>
              <w:rPr>
                <w:highlight w:val="none"/>
              </w:rPr>
            </w:pPr>
            <w:r>
              <w:rPr>
                <w:rFonts w:ascii="仿宋_GB2312" w:hAnsi="仿宋_GB2312" w:eastAsia="仿宋_GB2312" w:cs="仿宋_GB2312"/>
                <w:color w:val="000000"/>
                <w:sz w:val="24"/>
                <w:highlight w:val="none"/>
              </w:rPr>
              <w:t>1</w:t>
            </w:r>
          </w:p>
        </w:tc>
        <w:tc>
          <w:tcPr>
            <w:tcW w:w="1115"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3FA54323">
            <w:pPr>
              <w:pStyle w:val="4"/>
              <w:jc w:val="center"/>
              <w:rPr>
                <w:highlight w:val="none"/>
              </w:rPr>
            </w:pPr>
          </w:p>
        </w:tc>
      </w:tr>
      <w:tr w14:paraId="681775B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36C4FDB3">
            <w:pPr>
              <w:pStyle w:val="4"/>
              <w:jc w:val="center"/>
              <w:rPr>
                <w:highlight w:val="none"/>
              </w:rPr>
            </w:pPr>
            <w:r>
              <w:rPr>
                <w:rFonts w:ascii="仿宋_GB2312" w:hAnsi="仿宋_GB2312" w:eastAsia="仿宋_GB2312" w:cs="仿宋_GB2312"/>
                <w:color w:val="000000"/>
                <w:sz w:val="24"/>
                <w:highlight w:val="none"/>
              </w:rPr>
              <w:t>9</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5074F74E">
            <w:pPr>
              <w:pStyle w:val="4"/>
              <w:jc w:val="center"/>
              <w:rPr>
                <w:highlight w:val="none"/>
              </w:rPr>
            </w:pPr>
            <w:r>
              <w:rPr>
                <w:rFonts w:ascii="仿宋_GB2312" w:hAnsi="仿宋_GB2312" w:eastAsia="仿宋_GB2312" w:cs="仿宋_GB2312"/>
                <w:color w:val="000000"/>
                <w:sz w:val="24"/>
                <w:highlight w:val="none"/>
              </w:rPr>
              <w:t>轮式清洗、疏通一体机</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10645758">
            <w:pPr>
              <w:pStyle w:val="4"/>
              <w:jc w:val="center"/>
              <w:rPr>
                <w:highlight w:val="none"/>
              </w:rPr>
            </w:pPr>
            <w:r>
              <w:rPr>
                <w:rFonts w:ascii="仿宋_GB2312" w:hAnsi="仿宋_GB2312" w:eastAsia="仿宋_GB2312" w:cs="仿宋_GB2312"/>
                <w:color w:val="000000"/>
                <w:sz w:val="24"/>
                <w:highlight w:val="none"/>
              </w:rPr>
              <w:t>台</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02311B11">
            <w:pPr>
              <w:pStyle w:val="4"/>
              <w:jc w:val="center"/>
              <w:rPr>
                <w:highlight w:val="none"/>
              </w:rPr>
            </w:pPr>
            <w:r>
              <w:rPr>
                <w:rFonts w:ascii="仿宋_GB2312" w:hAnsi="仿宋_GB2312" w:eastAsia="仿宋_GB2312" w:cs="仿宋_GB2312"/>
                <w:color w:val="000000"/>
                <w:sz w:val="24"/>
                <w:highlight w:val="none"/>
              </w:rPr>
              <w:t>1</w:t>
            </w:r>
          </w:p>
        </w:tc>
        <w:tc>
          <w:tcPr>
            <w:tcW w:w="1115"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1A52AC0E">
            <w:pPr>
              <w:pStyle w:val="4"/>
              <w:jc w:val="center"/>
              <w:rPr>
                <w:highlight w:val="none"/>
              </w:rPr>
            </w:pPr>
          </w:p>
        </w:tc>
      </w:tr>
      <w:tr w14:paraId="675ECB1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39702B25">
            <w:pPr>
              <w:pStyle w:val="4"/>
              <w:jc w:val="center"/>
              <w:rPr>
                <w:highlight w:val="none"/>
              </w:rPr>
            </w:pPr>
            <w:r>
              <w:rPr>
                <w:rFonts w:ascii="仿宋_GB2312" w:hAnsi="仿宋_GB2312" w:eastAsia="仿宋_GB2312" w:cs="仿宋_GB2312"/>
                <w:color w:val="000000"/>
                <w:sz w:val="24"/>
                <w:highlight w:val="none"/>
              </w:rPr>
              <w:t>10</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76430A59">
            <w:pPr>
              <w:pStyle w:val="4"/>
              <w:jc w:val="center"/>
              <w:rPr>
                <w:highlight w:val="none"/>
              </w:rPr>
            </w:pPr>
            <w:r>
              <w:rPr>
                <w:rFonts w:ascii="仿宋_GB2312" w:hAnsi="仿宋_GB2312" w:eastAsia="仿宋_GB2312" w:cs="仿宋_GB2312"/>
                <w:color w:val="000000"/>
                <w:sz w:val="24"/>
                <w:highlight w:val="none"/>
              </w:rPr>
              <w:t>洒水车（燃油型）</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0B067CF6">
            <w:pPr>
              <w:pStyle w:val="4"/>
              <w:jc w:val="center"/>
              <w:rPr>
                <w:highlight w:val="none"/>
              </w:rPr>
            </w:pPr>
            <w:r>
              <w:rPr>
                <w:rFonts w:ascii="仿宋_GB2312" w:hAnsi="仿宋_GB2312" w:eastAsia="仿宋_GB2312" w:cs="仿宋_GB2312"/>
                <w:color w:val="000000"/>
                <w:sz w:val="24"/>
                <w:highlight w:val="none"/>
              </w:rPr>
              <w:t>辆</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08223029">
            <w:pPr>
              <w:pStyle w:val="4"/>
              <w:jc w:val="center"/>
              <w:rPr>
                <w:highlight w:val="none"/>
              </w:rPr>
            </w:pPr>
            <w:r>
              <w:rPr>
                <w:rFonts w:ascii="仿宋_GB2312" w:hAnsi="仿宋_GB2312" w:eastAsia="仿宋_GB2312" w:cs="仿宋_GB2312"/>
                <w:color w:val="000000"/>
                <w:sz w:val="24"/>
                <w:highlight w:val="none"/>
              </w:rPr>
              <w:t>1</w:t>
            </w:r>
          </w:p>
        </w:tc>
        <w:tc>
          <w:tcPr>
            <w:tcW w:w="1115"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57E576E0">
            <w:pPr>
              <w:pStyle w:val="4"/>
              <w:jc w:val="center"/>
              <w:rPr>
                <w:highlight w:val="none"/>
              </w:rPr>
            </w:pPr>
            <w:r>
              <w:rPr>
                <w:rFonts w:ascii="仿宋_GB2312" w:hAnsi="仿宋_GB2312" w:eastAsia="仿宋_GB2312" w:cs="仿宋_GB2312"/>
                <w:color w:val="000000"/>
                <w:sz w:val="24"/>
                <w:highlight w:val="none"/>
              </w:rPr>
              <w:t>可租赁</w:t>
            </w:r>
          </w:p>
        </w:tc>
      </w:tr>
      <w:tr w14:paraId="77306E2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6B0E21A4">
            <w:pPr>
              <w:pStyle w:val="4"/>
              <w:jc w:val="center"/>
              <w:rPr>
                <w:highlight w:val="none"/>
              </w:rPr>
            </w:pPr>
            <w:r>
              <w:rPr>
                <w:rFonts w:ascii="仿宋_GB2312" w:hAnsi="仿宋_GB2312" w:eastAsia="仿宋_GB2312" w:cs="仿宋_GB2312"/>
                <w:color w:val="000000"/>
                <w:sz w:val="24"/>
                <w:highlight w:val="none"/>
              </w:rPr>
              <w:t>11</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6E5D3EA6">
            <w:pPr>
              <w:pStyle w:val="4"/>
              <w:jc w:val="center"/>
              <w:rPr>
                <w:highlight w:val="none"/>
              </w:rPr>
            </w:pPr>
            <w:r>
              <w:rPr>
                <w:rFonts w:ascii="仿宋_GB2312" w:hAnsi="仿宋_GB2312" w:eastAsia="仿宋_GB2312" w:cs="仿宋_GB2312"/>
                <w:color w:val="000000"/>
                <w:sz w:val="24"/>
                <w:highlight w:val="none"/>
              </w:rPr>
              <w:t>洒水车（电动、小型）</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479D93B5">
            <w:pPr>
              <w:pStyle w:val="4"/>
              <w:jc w:val="center"/>
              <w:rPr>
                <w:highlight w:val="none"/>
              </w:rPr>
            </w:pPr>
            <w:r>
              <w:rPr>
                <w:rFonts w:ascii="仿宋_GB2312" w:hAnsi="仿宋_GB2312" w:eastAsia="仿宋_GB2312" w:cs="仿宋_GB2312"/>
                <w:color w:val="000000"/>
                <w:sz w:val="24"/>
                <w:highlight w:val="none"/>
              </w:rPr>
              <w:t>辆</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79421929">
            <w:pPr>
              <w:pStyle w:val="4"/>
              <w:jc w:val="center"/>
              <w:rPr>
                <w:highlight w:val="none"/>
              </w:rPr>
            </w:pPr>
            <w:r>
              <w:rPr>
                <w:rFonts w:ascii="仿宋_GB2312" w:hAnsi="仿宋_GB2312" w:eastAsia="仿宋_GB2312" w:cs="仿宋_GB2312"/>
                <w:color w:val="000000"/>
                <w:sz w:val="24"/>
                <w:highlight w:val="none"/>
              </w:rPr>
              <w:t>1</w:t>
            </w:r>
          </w:p>
        </w:tc>
        <w:tc>
          <w:tcPr>
            <w:tcW w:w="1115"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4B231DCC">
            <w:pPr>
              <w:pStyle w:val="4"/>
              <w:jc w:val="center"/>
              <w:rPr>
                <w:highlight w:val="none"/>
              </w:rPr>
            </w:pPr>
            <w:r>
              <w:rPr>
                <w:rFonts w:ascii="仿宋_GB2312" w:hAnsi="仿宋_GB2312" w:eastAsia="仿宋_GB2312" w:cs="仿宋_GB2312"/>
                <w:color w:val="000000"/>
                <w:sz w:val="24"/>
                <w:highlight w:val="none"/>
              </w:rPr>
              <w:t>可租赁</w:t>
            </w:r>
          </w:p>
        </w:tc>
      </w:tr>
      <w:tr w14:paraId="64D681E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1F2D2C1A">
            <w:pPr>
              <w:pStyle w:val="4"/>
              <w:jc w:val="center"/>
              <w:rPr>
                <w:highlight w:val="none"/>
              </w:rPr>
            </w:pPr>
            <w:r>
              <w:rPr>
                <w:rFonts w:ascii="仿宋_GB2312" w:hAnsi="仿宋_GB2312" w:eastAsia="仿宋_GB2312" w:cs="仿宋_GB2312"/>
                <w:color w:val="000000"/>
                <w:sz w:val="24"/>
                <w:highlight w:val="none"/>
              </w:rPr>
              <w:t>12</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2BAF204E">
            <w:pPr>
              <w:pStyle w:val="4"/>
              <w:jc w:val="center"/>
              <w:rPr>
                <w:highlight w:val="none"/>
              </w:rPr>
            </w:pPr>
            <w:r>
              <w:rPr>
                <w:rFonts w:ascii="仿宋_GB2312" w:hAnsi="仿宋_GB2312" w:eastAsia="仿宋_GB2312" w:cs="仿宋_GB2312"/>
                <w:color w:val="000000"/>
                <w:sz w:val="24"/>
                <w:highlight w:val="none"/>
              </w:rPr>
              <w:t>高空作业车</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14FC557F">
            <w:pPr>
              <w:pStyle w:val="4"/>
              <w:jc w:val="center"/>
              <w:rPr>
                <w:highlight w:val="none"/>
              </w:rPr>
            </w:pPr>
            <w:r>
              <w:rPr>
                <w:rFonts w:ascii="仿宋_GB2312" w:hAnsi="仿宋_GB2312" w:eastAsia="仿宋_GB2312" w:cs="仿宋_GB2312"/>
                <w:color w:val="000000"/>
                <w:sz w:val="24"/>
                <w:highlight w:val="none"/>
              </w:rPr>
              <w:t>辆</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27EF3821">
            <w:pPr>
              <w:pStyle w:val="4"/>
              <w:jc w:val="center"/>
              <w:rPr>
                <w:highlight w:val="none"/>
              </w:rPr>
            </w:pPr>
            <w:r>
              <w:rPr>
                <w:rFonts w:ascii="仿宋_GB2312" w:hAnsi="仿宋_GB2312" w:eastAsia="仿宋_GB2312" w:cs="仿宋_GB2312"/>
                <w:color w:val="000000"/>
                <w:sz w:val="24"/>
                <w:highlight w:val="none"/>
              </w:rPr>
              <w:t>1</w:t>
            </w:r>
          </w:p>
        </w:tc>
        <w:tc>
          <w:tcPr>
            <w:tcW w:w="1115"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6BE9C3CC">
            <w:pPr>
              <w:pStyle w:val="4"/>
              <w:jc w:val="center"/>
              <w:rPr>
                <w:highlight w:val="none"/>
              </w:rPr>
            </w:pPr>
            <w:r>
              <w:rPr>
                <w:rFonts w:ascii="仿宋_GB2312" w:hAnsi="仿宋_GB2312" w:eastAsia="仿宋_GB2312" w:cs="仿宋_GB2312"/>
                <w:color w:val="000000"/>
                <w:sz w:val="24"/>
                <w:highlight w:val="none"/>
              </w:rPr>
              <w:t>可租赁</w:t>
            </w:r>
          </w:p>
        </w:tc>
      </w:tr>
      <w:tr w14:paraId="7236180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2434E13A">
            <w:pPr>
              <w:pStyle w:val="4"/>
              <w:jc w:val="center"/>
              <w:rPr>
                <w:highlight w:val="none"/>
              </w:rPr>
            </w:pPr>
            <w:r>
              <w:rPr>
                <w:rFonts w:ascii="仿宋_GB2312" w:hAnsi="仿宋_GB2312" w:eastAsia="仿宋_GB2312" w:cs="仿宋_GB2312"/>
                <w:color w:val="000000"/>
                <w:sz w:val="24"/>
                <w:highlight w:val="none"/>
              </w:rPr>
              <w:t>13</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049D902F">
            <w:pPr>
              <w:pStyle w:val="4"/>
              <w:jc w:val="center"/>
              <w:rPr>
                <w:highlight w:val="none"/>
              </w:rPr>
            </w:pPr>
            <w:r>
              <w:rPr>
                <w:rFonts w:ascii="仿宋_GB2312" w:hAnsi="仿宋_GB2312" w:eastAsia="仿宋_GB2312" w:cs="仿宋_GB2312"/>
                <w:color w:val="000000"/>
                <w:sz w:val="24"/>
                <w:highlight w:val="none"/>
              </w:rPr>
              <w:t>高压打药机</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0F84F7AA">
            <w:pPr>
              <w:pStyle w:val="4"/>
              <w:jc w:val="center"/>
              <w:rPr>
                <w:highlight w:val="none"/>
              </w:rPr>
            </w:pPr>
            <w:r>
              <w:rPr>
                <w:rFonts w:ascii="仿宋_GB2312" w:hAnsi="仿宋_GB2312" w:eastAsia="仿宋_GB2312" w:cs="仿宋_GB2312"/>
                <w:color w:val="000000"/>
                <w:sz w:val="24"/>
                <w:highlight w:val="none"/>
              </w:rPr>
              <w:t>个</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00FCA7DA">
            <w:pPr>
              <w:pStyle w:val="4"/>
              <w:jc w:val="center"/>
              <w:rPr>
                <w:highlight w:val="none"/>
              </w:rPr>
            </w:pPr>
            <w:r>
              <w:rPr>
                <w:rFonts w:ascii="仿宋_GB2312" w:hAnsi="仿宋_GB2312" w:eastAsia="仿宋_GB2312" w:cs="仿宋_GB2312"/>
                <w:color w:val="000000"/>
                <w:sz w:val="24"/>
                <w:highlight w:val="none"/>
              </w:rPr>
              <w:t>1</w:t>
            </w:r>
          </w:p>
        </w:tc>
        <w:tc>
          <w:tcPr>
            <w:tcW w:w="1115"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29AB9C89">
            <w:pPr>
              <w:pStyle w:val="4"/>
              <w:jc w:val="center"/>
              <w:rPr>
                <w:highlight w:val="none"/>
              </w:rPr>
            </w:pPr>
          </w:p>
        </w:tc>
      </w:tr>
      <w:tr w14:paraId="7EB739F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73CD3EC0">
            <w:pPr>
              <w:pStyle w:val="4"/>
              <w:jc w:val="center"/>
              <w:rPr>
                <w:highlight w:val="none"/>
              </w:rPr>
            </w:pPr>
            <w:r>
              <w:rPr>
                <w:rFonts w:ascii="仿宋_GB2312" w:hAnsi="仿宋_GB2312" w:eastAsia="仿宋_GB2312" w:cs="仿宋_GB2312"/>
                <w:color w:val="000000"/>
                <w:sz w:val="24"/>
                <w:highlight w:val="none"/>
              </w:rPr>
              <w:t>14</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79B5933B">
            <w:pPr>
              <w:pStyle w:val="4"/>
              <w:jc w:val="center"/>
              <w:rPr>
                <w:highlight w:val="none"/>
              </w:rPr>
            </w:pPr>
            <w:r>
              <w:rPr>
                <w:rFonts w:ascii="仿宋_GB2312" w:hAnsi="仿宋_GB2312" w:eastAsia="仿宋_GB2312" w:cs="仿宋_GB2312"/>
                <w:color w:val="000000"/>
                <w:sz w:val="24"/>
                <w:highlight w:val="none"/>
              </w:rPr>
              <w:t>高速吹风机</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70220177">
            <w:pPr>
              <w:pStyle w:val="4"/>
              <w:jc w:val="center"/>
              <w:rPr>
                <w:highlight w:val="none"/>
              </w:rPr>
            </w:pPr>
            <w:r>
              <w:rPr>
                <w:rFonts w:ascii="仿宋_GB2312" w:hAnsi="仿宋_GB2312" w:eastAsia="仿宋_GB2312" w:cs="仿宋_GB2312"/>
                <w:color w:val="000000"/>
                <w:sz w:val="24"/>
                <w:highlight w:val="none"/>
              </w:rPr>
              <w:t>个</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566275A0">
            <w:pPr>
              <w:pStyle w:val="4"/>
              <w:jc w:val="center"/>
              <w:rPr>
                <w:highlight w:val="none"/>
              </w:rPr>
            </w:pPr>
            <w:r>
              <w:rPr>
                <w:rFonts w:ascii="仿宋_GB2312" w:hAnsi="仿宋_GB2312" w:eastAsia="仿宋_GB2312" w:cs="仿宋_GB2312"/>
                <w:color w:val="000000"/>
                <w:sz w:val="24"/>
                <w:highlight w:val="none"/>
              </w:rPr>
              <w:t>1</w:t>
            </w:r>
          </w:p>
        </w:tc>
        <w:tc>
          <w:tcPr>
            <w:tcW w:w="1115"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1B09A9FD">
            <w:pPr>
              <w:pStyle w:val="4"/>
              <w:jc w:val="center"/>
              <w:rPr>
                <w:highlight w:val="none"/>
              </w:rPr>
            </w:pPr>
          </w:p>
        </w:tc>
      </w:tr>
      <w:tr w14:paraId="159EBE1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130DD548">
            <w:pPr>
              <w:pStyle w:val="4"/>
              <w:jc w:val="center"/>
              <w:rPr>
                <w:highlight w:val="none"/>
              </w:rPr>
            </w:pPr>
            <w:r>
              <w:rPr>
                <w:rFonts w:ascii="仿宋_GB2312" w:hAnsi="仿宋_GB2312" w:eastAsia="仿宋_GB2312" w:cs="仿宋_GB2312"/>
                <w:color w:val="000000"/>
                <w:sz w:val="24"/>
                <w:highlight w:val="none"/>
              </w:rPr>
              <w:t>15</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51718F4B">
            <w:pPr>
              <w:pStyle w:val="4"/>
              <w:jc w:val="center"/>
              <w:rPr>
                <w:highlight w:val="none"/>
              </w:rPr>
            </w:pPr>
            <w:r>
              <w:rPr>
                <w:rFonts w:ascii="仿宋_GB2312" w:hAnsi="仿宋_GB2312" w:eastAsia="仿宋_GB2312" w:cs="仿宋_GB2312"/>
                <w:color w:val="000000"/>
                <w:sz w:val="24"/>
                <w:highlight w:val="none"/>
              </w:rPr>
              <w:t>割草机</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2BED3B4E">
            <w:pPr>
              <w:pStyle w:val="4"/>
              <w:jc w:val="center"/>
              <w:rPr>
                <w:highlight w:val="none"/>
              </w:rPr>
            </w:pPr>
            <w:r>
              <w:rPr>
                <w:rFonts w:ascii="仿宋_GB2312" w:hAnsi="仿宋_GB2312" w:eastAsia="仿宋_GB2312" w:cs="仿宋_GB2312"/>
                <w:color w:val="000000"/>
                <w:sz w:val="24"/>
                <w:highlight w:val="none"/>
              </w:rPr>
              <w:t>台</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6ED64575">
            <w:pPr>
              <w:pStyle w:val="4"/>
              <w:jc w:val="center"/>
              <w:rPr>
                <w:highlight w:val="none"/>
              </w:rPr>
            </w:pPr>
            <w:r>
              <w:rPr>
                <w:rFonts w:ascii="仿宋_GB2312" w:hAnsi="仿宋_GB2312" w:eastAsia="仿宋_GB2312" w:cs="仿宋_GB2312"/>
                <w:color w:val="000000"/>
                <w:sz w:val="24"/>
                <w:highlight w:val="none"/>
              </w:rPr>
              <w:t>5</w:t>
            </w:r>
          </w:p>
        </w:tc>
        <w:tc>
          <w:tcPr>
            <w:tcW w:w="1115"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7519CF61">
            <w:pPr>
              <w:pStyle w:val="4"/>
              <w:jc w:val="center"/>
              <w:rPr>
                <w:highlight w:val="none"/>
              </w:rPr>
            </w:pPr>
          </w:p>
        </w:tc>
      </w:tr>
      <w:tr w14:paraId="24EF4B0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3A7DED94">
            <w:pPr>
              <w:pStyle w:val="4"/>
              <w:jc w:val="center"/>
              <w:rPr>
                <w:highlight w:val="none"/>
              </w:rPr>
            </w:pPr>
            <w:r>
              <w:rPr>
                <w:rFonts w:ascii="仿宋_GB2312" w:hAnsi="仿宋_GB2312" w:eastAsia="仿宋_GB2312" w:cs="仿宋_GB2312"/>
                <w:color w:val="000000"/>
                <w:sz w:val="24"/>
                <w:highlight w:val="none"/>
              </w:rPr>
              <w:t>16</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59F22F83">
            <w:pPr>
              <w:pStyle w:val="4"/>
              <w:jc w:val="center"/>
              <w:rPr>
                <w:highlight w:val="none"/>
              </w:rPr>
            </w:pPr>
            <w:r>
              <w:rPr>
                <w:rFonts w:ascii="仿宋_GB2312" w:hAnsi="仿宋_GB2312" w:eastAsia="仿宋_GB2312" w:cs="仿宋_GB2312"/>
                <w:color w:val="000000"/>
                <w:sz w:val="24"/>
                <w:highlight w:val="none"/>
              </w:rPr>
              <w:t>双刀绿篱机</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43E7752C">
            <w:pPr>
              <w:pStyle w:val="4"/>
              <w:jc w:val="center"/>
              <w:rPr>
                <w:highlight w:val="none"/>
              </w:rPr>
            </w:pPr>
            <w:r>
              <w:rPr>
                <w:rFonts w:ascii="仿宋_GB2312" w:hAnsi="仿宋_GB2312" w:eastAsia="仿宋_GB2312" w:cs="仿宋_GB2312"/>
                <w:color w:val="000000"/>
                <w:sz w:val="24"/>
                <w:highlight w:val="none"/>
              </w:rPr>
              <w:t>台</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4E58D6D8">
            <w:pPr>
              <w:pStyle w:val="4"/>
              <w:jc w:val="center"/>
              <w:rPr>
                <w:highlight w:val="none"/>
              </w:rPr>
            </w:pPr>
            <w:r>
              <w:rPr>
                <w:rFonts w:ascii="仿宋_GB2312" w:hAnsi="仿宋_GB2312" w:eastAsia="仿宋_GB2312" w:cs="仿宋_GB2312"/>
                <w:color w:val="000000"/>
                <w:sz w:val="24"/>
                <w:highlight w:val="none"/>
              </w:rPr>
              <w:t>3</w:t>
            </w:r>
          </w:p>
        </w:tc>
        <w:tc>
          <w:tcPr>
            <w:tcW w:w="1115"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551D9C6B">
            <w:pPr>
              <w:pStyle w:val="4"/>
              <w:jc w:val="center"/>
              <w:rPr>
                <w:highlight w:val="none"/>
              </w:rPr>
            </w:pPr>
          </w:p>
        </w:tc>
      </w:tr>
      <w:tr w14:paraId="0117452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69F3FBD5">
            <w:pPr>
              <w:pStyle w:val="4"/>
              <w:jc w:val="center"/>
              <w:rPr>
                <w:highlight w:val="none"/>
              </w:rPr>
            </w:pPr>
            <w:r>
              <w:rPr>
                <w:rFonts w:ascii="仿宋_GB2312" w:hAnsi="仿宋_GB2312" w:eastAsia="仿宋_GB2312" w:cs="仿宋_GB2312"/>
                <w:color w:val="000000"/>
                <w:sz w:val="24"/>
                <w:highlight w:val="none"/>
              </w:rPr>
              <w:t>17</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1FCB3F9D">
            <w:pPr>
              <w:pStyle w:val="4"/>
              <w:jc w:val="center"/>
              <w:rPr>
                <w:highlight w:val="none"/>
              </w:rPr>
            </w:pPr>
            <w:r>
              <w:rPr>
                <w:rFonts w:ascii="仿宋_GB2312" w:hAnsi="仿宋_GB2312" w:eastAsia="仿宋_GB2312" w:cs="仿宋_GB2312"/>
                <w:color w:val="000000"/>
                <w:sz w:val="24"/>
                <w:highlight w:val="none"/>
              </w:rPr>
              <w:t>油锯（14寸）</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1902C855">
            <w:pPr>
              <w:pStyle w:val="4"/>
              <w:jc w:val="center"/>
              <w:rPr>
                <w:highlight w:val="none"/>
              </w:rPr>
            </w:pPr>
            <w:r>
              <w:rPr>
                <w:rFonts w:ascii="仿宋_GB2312" w:hAnsi="仿宋_GB2312" w:eastAsia="仿宋_GB2312" w:cs="仿宋_GB2312"/>
                <w:color w:val="000000"/>
                <w:sz w:val="24"/>
                <w:highlight w:val="none"/>
              </w:rPr>
              <w:t>把</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10BB0378">
            <w:pPr>
              <w:pStyle w:val="4"/>
              <w:jc w:val="center"/>
              <w:rPr>
                <w:highlight w:val="none"/>
              </w:rPr>
            </w:pPr>
            <w:r>
              <w:rPr>
                <w:rFonts w:ascii="仿宋_GB2312" w:hAnsi="仿宋_GB2312" w:eastAsia="仿宋_GB2312" w:cs="仿宋_GB2312"/>
                <w:color w:val="000000"/>
                <w:sz w:val="24"/>
                <w:highlight w:val="none"/>
              </w:rPr>
              <w:t>2</w:t>
            </w:r>
          </w:p>
        </w:tc>
        <w:tc>
          <w:tcPr>
            <w:tcW w:w="1115"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6BF37140">
            <w:pPr>
              <w:pStyle w:val="4"/>
              <w:jc w:val="center"/>
              <w:rPr>
                <w:highlight w:val="none"/>
              </w:rPr>
            </w:pPr>
          </w:p>
        </w:tc>
      </w:tr>
      <w:tr w14:paraId="1D367E6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730E3162">
            <w:pPr>
              <w:pStyle w:val="4"/>
              <w:jc w:val="center"/>
              <w:rPr>
                <w:highlight w:val="none"/>
              </w:rPr>
            </w:pPr>
            <w:r>
              <w:rPr>
                <w:rFonts w:ascii="仿宋_GB2312" w:hAnsi="仿宋_GB2312" w:eastAsia="仿宋_GB2312" w:cs="仿宋_GB2312"/>
                <w:color w:val="000000"/>
                <w:sz w:val="24"/>
                <w:highlight w:val="none"/>
              </w:rPr>
              <w:t>18</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7D89A27F">
            <w:pPr>
              <w:pStyle w:val="4"/>
              <w:jc w:val="center"/>
              <w:rPr>
                <w:highlight w:val="none"/>
              </w:rPr>
            </w:pPr>
            <w:r>
              <w:rPr>
                <w:rFonts w:ascii="仿宋_GB2312" w:hAnsi="仿宋_GB2312" w:eastAsia="仿宋_GB2312" w:cs="仿宋_GB2312"/>
                <w:color w:val="000000"/>
                <w:sz w:val="24"/>
                <w:highlight w:val="none"/>
              </w:rPr>
              <w:t>油锯（18寸）</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5D78B393">
            <w:pPr>
              <w:pStyle w:val="4"/>
              <w:jc w:val="center"/>
              <w:rPr>
                <w:highlight w:val="none"/>
              </w:rPr>
            </w:pPr>
            <w:r>
              <w:rPr>
                <w:rFonts w:ascii="仿宋_GB2312" w:hAnsi="仿宋_GB2312" w:eastAsia="仿宋_GB2312" w:cs="仿宋_GB2312"/>
                <w:color w:val="000000"/>
                <w:sz w:val="24"/>
                <w:highlight w:val="none"/>
              </w:rPr>
              <w:t>把</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50B76C44">
            <w:pPr>
              <w:pStyle w:val="4"/>
              <w:jc w:val="center"/>
              <w:rPr>
                <w:highlight w:val="none"/>
              </w:rPr>
            </w:pPr>
            <w:r>
              <w:rPr>
                <w:rFonts w:ascii="仿宋_GB2312" w:hAnsi="仿宋_GB2312" w:eastAsia="仿宋_GB2312" w:cs="仿宋_GB2312"/>
                <w:color w:val="000000"/>
                <w:sz w:val="24"/>
                <w:highlight w:val="none"/>
              </w:rPr>
              <w:t>2</w:t>
            </w:r>
          </w:p>
        </w:tc>
        <w:tc>
          <w:tcPr>
            <w:tcW w:w="1115"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46AB1DC6">
            <w:pPr>
              <w:pStyle w:val="4"/>
              <w:jc w:val="center"/>
              <w:rPr>
                <w:highlight w:val="none"/>
              </w:rPr>
            </w:pPr>
          </w:p>
        </w:tc>
      </w:tr>
      <w:tr w14:paraId="4C54037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012621F1">
            <w:pPr>
              <w:pStyle w:val="4"/>
              <w:jc w:val="center"/>
              <w:rPr>
                <w:highlight w:val="none"/>
              </w:rPr>
            </w:pPr>
            <w:r>
              <w:rPr>
                <w:rFonts w:ascii="仿宋_GB2312" w:hAnsi="仿宋_GB2312" w:eastAsia="仿宋_GB2312" w:cs="仿宋_GB2312"/>
                <w:color w:val="000000"/>
                <w:sz w:val="24"/>
                <w:highlight w:val="none"/>
              </w:rPr>
              <w:t>19</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2C69CE00">
            <w:pPr>
              <w:pStyle w:val="4"/>
              <w:jc w:val="center"/>
              <w:rPr>
                <w:highlight w:val="none"/>
              </w:rPr>
            </w:pPr>
            <w:r>
              <w:rPr>
                <w:rFonts w:ascii="仿宋_GB2312" w:hAnsi="仿宋_GB2312" w:eastAsia="仿宋_GB2312" w:cs="仿宋_GB2312"/>
                <w:color w:val="000000"/>
                <w:sz w:val="24"/>
                <w:highlight w:val="none"/>
              </w:rPr>
              <w:t>高枝油锯</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4E1AA05E">
            <w:pPr>
              <w:pStyle w:val="4"/>
              <w:jc w:val="center"/>
              <w:rPr>
                <w:highlight w:val="none"/>
              </w:rPr>
            </w:pPr>
            <w:r>
              <w:rPr>
                <w:rFonts w:ascii="仿宋_GB2312" w:hAnsi="仿宋_GB2312" w:eastAsia="仿宋_GB2312" w:cs="仿宋_GB2312"/>
                <w:color w:val="000000"/>
                <w:sz w:val="24"/>
                <w:highlight w:val="none"/>
              </w:rPr>
              <w:t>把</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0835B211">
            <w:pPr>
              <w:pStyle w:val="4"/>
              <w:jc w:val="center"/>
              <w:rPr>
                <w:highlight w:val="none"/>
              </w:rPr>
            </w:pPr>
            <w:r>
              <w:rPr>
                <w:rFonts w:ascii="仿宋_GB2312" w:hAnsi="仿宋_GB2312" w:eastAsia="仿宋_GB2312" w:cs="仿宋_GB2312"/>
                <w:color w:val="000000"/>
                <w:sz w:val="24"/>
                <w:highlight w:val="none"/>
              </w:rPr>
              <w:t>2</w:t>
            </w:r>
          </w:p>
        </w:tc>
        <w:tc>
          <w:tcPr>
            <w:tcW w:w="1115"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16DBD4E2">
            <w:pPr>
              <w:pStyle w:val="4"/>
              <w:jc w:val="center"/>
              <w:rPr>
                <w:highlight w:val="none"/>
              </w:rPr>
            </w:pPr>
          </w:p>
        </w:tc>
      </w:tr>
      <w:tr w14:paraId="67673BA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0E2918FC">
            <w:pPr>
              <w:pStyle w:val="4"/>
              <w:jc w:val="center"/>
              <w:rPr>
                <w:highlight w:val="none"/>
              </w:rPr>
            </w:pPr>
            <w:r>
              <w:rPr>
                <w:rFonts w:ascii="仿宋_GB2312" w:hAnsi="仿宋_GB2312" w:eastAsia="仿宋_GB2312" w:cs="仿宋_GB2312"/>
                <w:color w:val="000000"/>
                <w:sz w:val="24"/>
                <w:highlight w:val="none"/>
              </w:rPr>
              <w:t>20</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7694C156">
            <w:pPr>
              <w:pStyle w:val="4"/>
              <w:jc w:val="center"/>
              <w:rPr>
                <w:highlight w:val="none"/>
              </w:rPr>
            </w:pPr>
            <w:r>
              <w:rPr>
                <w:rFonts w:ascii="仿宋_GB2312" w:hAnsi="仿宋_GB2312" w:eastAsia="仿宋_GB2312" w:cs="仿宋_GB2312"/>
                <w:color w:val="000000"/>
                <w:sz w:val="24"/>
                <w:highlight w:val="none"/>
              </w:rPr>
              <w:t>高枝剪</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77E0708B">
            <w:pPr>
              <w:pStyle w:val="4"/>
              <w:jc w:val="center"/>
              <w:rPr>
                <w:highlight w:val="none"/>
              </w:rPr>
            </w:pPr>
            <w:r>
              <w:rPr>
                <w:rFonts w:ascii="仿宋_GB2312" w:hAnsi="仿宋_GB2312" w:eastAsia="仿宋_GB2312" w:cs="仿宋_GB2312"/>
                <w:color w:val="000000"/>
                <w:sz w:val="24"/>
                <w:highlight w:val="none"/>
              </w:rPr>
              <w:t>把</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76D7B245">
            <w:pPr>
              <w:pStyle w:val="4"/>
              <w:jc w:val="center"/>
              <w:rPr>
                <w:highlight w:val="none"/>
              </w:rPr>
            </w:pPr>
            <w:r>
              <w:rPr>
                <w:rFonts w:ascii="仿宋_GB2312" w:hAnsi="仿宋_GB2312" w:eastAsia="仿宋_GB2312" w:cs="仿宋_GB2312"/>
                <w:color w:val="000000"/>
                <w:sz w:val="24"/>
                <w:highlight w:val="none"/>
              </w:rPr>
              <w:t>3</w:t>
            </w:r>
          </w:p>
        </w:tc>
        <w:tc>
          <w:tcPr>
            <w:tcW w:w="1115"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0D86830F">
            <w:pPr>
              <w:pStyle w:val="4"/>
              <w:jc w:val="center"/>
              <w:rPr>
                <w:highlight w:val="none"/>
              </w:rPr>
            </w:pPr>
          </w:p>
        </w:tc>
      </w:tr>
      <w:tr w14:paraId="5C4B314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06236EB9">
            <w:pPr>
              <w:pStyle w:val="4"/>
              <w:jc w:val="center"/>
              <w:rPr>
                <w:highlight w:val="none"/>
              </w:rPr>
            </w:pPr>
            <w:r>
              <w:rPr>
                <w:rFonts w:ascii="仿宋_GB2312" w:hAnsi="仿宋_GB2312" w:eastAsia="仿宋_GB2312" w:cs="仿宋_GB2312"/>
                <w:color w:val="000000"/>
                <w:sz w:val="24"/>
                <w:highlight w:val="none"/>
              </w:rPr>
              <w:t>21</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1F00F827">
            <w:pPr>
              <w:pStyle w:val="4"/>
              <w:jc w:val="center"/>
              <w:rPr>
                <w:highlight w:val="none"/>
              </w:rPr>
            </w:pPr>
            <w:r>
              <w:rPr>
                <w:rFonts w:ascii="仿宋_GB2312" w:hAnsi="仿宋_GB2312" w:eastAsia="仿宋_GB2312" w:cs="仿宋_GB2312"/>
                <w:color w:val="000000"/>
                <w:sz w:val="24"/>
                <w:highlight w:val="none"/>
              </w:rPr>
              <w:t>高转锯</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1986653C">
            <w:pPr>
              <w:pStyle w:val="4"/>
              <w:jc w:val="center"/>
              <w:rPr>
                <w:highlight w:val="none"/>
              </w:rPr>
            </w:pPr>
            <w:r>
              <w:rPr>
                <w:rFonts w:ascii="仿宋_GB2312" w:hAnsi="仿宋_GB2312" w:eastAsia="仿宋_GB2312" w:cs="仿宋_GB2312"/>
                <w:color w:val="000000"/>
                <w:sz w:val="24"/>
                <w:highlight w:val="none"/>
              </w:rPr>
              <w:t>把</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0B10AE3E">
            <w:pPr>
              <w:pStyle w:val="4"/>
              <w:jc w:val="center"/>
              <w:rPr>
                <w:highlight w:val="none"/>
              </w:rPr>
            </w:pPr>
            <w:r>
              <w:rPr>
                <w:rFonts w:ascii="仿宋_GB2312" w:hAnsi="仿宋_GB2312" w:eastAsia="仿宋_GB2312" w:cs="仿宋_GB2312"/>
                <w:color w:val="000000"/>
                <w:sz w:val="24"/>
                <w:highlight w:val="none"/>
              </w:rPr>
              <w:t>3</w:t>
            </w:r>
          </w:p>
        </w:tc>
        <w:tc>
          <w:tcPr>
            <w:tcW w:w="1115"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63A823F5">
            <w:pPr>
              <w:pStyle w:val="4"/>
              <w:jc w:val="center"/>
              <w:rPr>
                <w:highlight w:val="none"/>
              </w:rPr>
            </w:pPr>
          </w:p>
        </w:tc>
      </w:tr>
      <w:tr w14:paraId="29034DB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5A4ADDCF">
            <w:pPr>
              <w:pStyle w:val="4"/>
              <w:jc w:val="center"/>
              <w:rPr>
                <w:highlight w:val="none"/>
              </w:rPr>
            </w:pPr>
            <w:r>
              <w:rPr>
                <w:rFonts w:ascii="仿宋_GB2312" w:hAnsi="仿宋_GB2312" w:eastAsia="仿宋_GB2312" w:cs="仿宋_GB2312"/>
                <w:color w:val="000000"/>
                <w:sz w:val="24"/>
                <w:highlight w:val="none"/>
              </w:rPr>
              <w:t>22</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060E1E14">
            <w:pPr>
              <w:pStyle w:val="4"/>
              <w:jc w:val="center"/>
              <w:rPr>
                <w:highlight w:val="none"/>
              </w:rPr>
            </w:pPr>
            <w:r>
              <w:rPr>
                <w:rFonts w:ascii="仿宋_GB2312" w:hAnsi="仿宋_GB2312" w:eastAsia="仿宋_GB2312" w:cs="仿宋_GB2312"/>
                <w:color w:val="000000"/>
                <w:sz w:val="24"/>
                <w:highlight w:val="none"/>
              </w:rPr>
              <w:t>大枝剪</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714D3B58">
            <w:pPr>
              <w:pStyle w:val="4"/>
              <w:jc w:val="center"/>
              <w:rPr>
                <w:highlight w:val="none"/>
              </w:rPr>
            </w:pPr>
            <w:r>
              <w:rPr>
                <w:rFonts w:ascii="仿宋_GB2312" w:hAnsi="仿宋_GB2312" w:eastAsia="仿宋_GB2312" w:cs="仿宋_GB2312"/>
                <w:color w:val="000000"/>
                <w:sz w:val="24"/>
                <w:highlight w:val="none"/>
              </w:rPr>
              <w:t>把</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13EC7BE7">
            <w:pPr>
              <w:pStyle w:val="4"/>
              <w:jc w:val="center"/>
              <w:rPr>
                <w:highlight w:val="none"/>
              </w:rPr>
            </w:pPr>
            <w:r>
              <w:rPr>
                <w:rFonts w:ascii="仿宋_GB2312" w:hAnsi="仿宋_GB2312" w:eastAsia="仿宋_GB2312" w:cs="仿宋_GB2312"/>
                <w:color w:val="000000"/>
                <w:sz w:val="24"/>
                <w:highlight w:val="none"/>
              </w:rPr>
              <w:t>5</w:t>
            </w:r>
          </w:p>
        </w:tc>
        <w:tc>
          <w:tcPr>
            <w:tcW w:w="1115"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1241AA55">
            <w:pPr>
              <w:pStyle w:val="4"/>
              <w:jc w:val="center"/>
              <w:rPr>
                <w:highlight w:val="none"/>
              </w:rPr>
            </w:pPr>
          </w:p>
        </w:tc>
      </w:tr>
      <w:tr w14:paraId="11CA496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3738F6A7">
            <w:pPr>
              <w:pStyle w:val="4"/>
              <w:jc w:val="center"/>
              <w:rPr>
                <w:highlight w:val="none"/>
              </w:rPr>
            </w:pPr>
            <w:r>
              <w:rPr>
                <w:rFonts w:ascii="仿宋_GB2312" w:hAnsi="仿宋_GB2312" w:eastAsia="仿宋_GB2312" w:cs="仿宋_GB2312"/>
                <w:color w:val="000000"/>
                <w:sz w:val="24"/>
                <w:highlight w:val="none"/>
              </w:rPr>
              <w:t>23</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413BF15B">
            <w:pPr>
              <w:pStyle w:val="4"/>
              <w:jc w:val="center"/>
              <w:rPr>
                <w:highlight w:val="none"/>
              </w:rPr>
            </w:pPr>
            <w:r>
              <w:rPr>
                <w:rFonts w:ascii="仿宋_GB2312" w:hAnsi="仿宋_GB2312" w:eastAsia="仿宋_GB2312" w:cs="仿宋_GB2312"/>
                <w:color w:val="000000"/>
                <w:sz w:val="24"/>
                <w:highlight w:val="none"/>
              </w:rPr>
              <w:t>小枝剪</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7C58C7AB">
            <w:pPr>
              <w:pStyle w:val="4"/>
              <w:jc w:val="center"/>
              <w:rPr>
                <w:highlight w:val="none"/>
              </w:rPr>
            </w:pPr>
            <w:r>
              <w:rPr>
                <w:rFonts w:ascii="仿宋_GB2312" w:hAnsi="仿宋_GB2312" w:eastAsia="仿宋_GB2312" w:cs="仿宋_GB2312"/>
                <w:color w:val="000000"/>
                <w:sz w:val="24"/>
                <w:highlight w:val="none"/>
              </w:rPr>
              <w:t>把</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4052A39B">
            <w:pPr>
              <w:pStyle w:val="4"/>
              <w:jc w:val="center"/>
              <w:rPr>
                <w:highlight w:val="none"/>
              </w:rPr>
            </w:pPr>
            <w:r>
              <w:rPr>
                <w:rFonts w:ascii="仿宋_GB2312" w:hAnsi="仿宋_GB2312" w:eastAsia="仿宋_GB2312" w:cs="仿宋_GB2312"/>
                <w:color w:val="000000"/>
                <w:sz w:val="24"/>
                <w:highlight w:val="none"/>
              </w:rPr>
              <w:t>5</w:t>
            </w:r>
          </w:p>
        </w:tc>
        <w:tc>
          <w:tcPr>
            <w:tcW w:w="1115"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34CED102">
            <w:pPr>
              <w:pStyle w:val="4"/>
              <w:jc w:val="center"/>
              <w:rPr>
                <w:highlight w:val="none"/>
              </w:rPr>
            </w:pPr>
          </w:p>
        </w:tc>
      </w:tr>
      <w:tr w14:paraId="2C0DADF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4DFC0FA7">
            <w:pPr>
              <w:pStyle w:val="4"/>
              <w:jc w:val="center"/>
              <w:rPr>
                <w:highlight w:val="none"/>
              </w:rPr>
            </w:pPr>
            <w:r>
              <w:rPr>
                <w:rFonts w:ascii="仿宋_GB2312" w:hAnsi="仿宋_GB2312" w:eastAsia="仿宋_GB2312" w:cs="仿宋_GB2312"/>
                <w:color w:val="000000"/>
                <w:sz w:val="24"/>
                <w:highlight w:val="none"/>
              </w:rPr>
              <w:t>24</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647F93CE">
            <w:pPr>
              <w:pStyle w:val="4"/>
              <w:jc w:val="center"/>
              <w:rPr>
                <w:highlight w:val="none"/>
              </w:rPr>
            </w:pPr>
            <w:r>
              <w:rPr>
                <w:rFonts w:ascii="仿宋_GB2312" w:hAnsi="仿宋_GB2312" w:eastAsia="仿宋_GB2312" w:cs="仿宋_GB2312"/>
                <w:color w:val="000000"/>
                <w:sz w:val="24"/>
                <w:highlight w:val="none"/>
              </w:rPr>
              <w:t>防护头盔</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5439DEDE">
            <w:pPr>
              <w:pStyle w:val="4"/>
              <w:jc w:val="center"/>
              <w:rPr>
                <w:highlight w:val="none"/>
              </w:rPr>
            </w:pPr>
            <w:r>
              <w:rPr>
                <w:rFonts w:ascii="仿宋_GB2312" w:hAnsi="仿宋_GB2312" w:eastAsia="仿宋_GB2312" w:cs="仿宋_GB2312"/>
                <w:color w:val="000000"/>
                <w:sz w:val="24"/>
                <w:highlight w:val="none"/>
              </w:rPr>
              <w:t>顶</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49A65137">
            <w:pPr>
              <w:pStyle w:val="4"/>
              <w:jc w:val="center"/>
              <w:rPr>
                <w:highlight w:val="none"/>
              </w:rPr>
            </w:pPr>
            <w:r>
              <w:rPr>
                <w:rFonts w:ascii="仿宋_GB2312" w:hAnsi="仿宋_GB2312" w:eastAsia="仿宋_GB2312" w:cs="仿宋_GB2312"/>
                <w:color w:val="000000"/>
                <w:sz w:val="24"/>
                <w:highlight w:val="none"/>
              </w:rPr>
              <w:t>10</w:t>
            </w:r>
          </w:p>
        </w:tc>
        <w:tc>
          <w:tcPr>
            <w:tcW w:w="1115"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19EB8E81">
            <w:pPr>
              <w:pStyle w:val="4"/>
              <w:jc w:val="center"/>
              <w:rPr>
                <w:highlight w:val="none"/>
              </w:rPr>
            </w:pPr>
          </w:p>
        </w:tc>
      </w:tr>
      <w:tr w14:paraId="7DC1C61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56632E86">
            <w:pPr>
              <w:pStyle w:val="4"/>
              <w:jc w:val="center"/>
              <w:rPr>
                <w:highlight w:val="none"/>
              </w:rPr>
            </w:pPr>
            <w:r>
              <w:rPr>
                <w:rFonts w:ascii="仿宋_GB2312" w:hAnsi="仿宋_GB2312" w:eastAsia="仿宋_GB2312" w:cs="仿宋_GB2312"/>
                <w:color w:val="000000"/>
                <w:sz w:val="24"/>
                <w:highlight w:val="none"/>
              </w:rPr>
              <w:t>25</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4EDC941C">
            <w:pPr>
              <w:pStyle w:val="4"/>
              <w:jc w:val="center"/>
              <w:rPr>
                <w:highlight w:val="none"/>
              </w:rPr>
            </w:pPr>
            <w:r>
              <w:rPr>
                <w:rFonts w:ascii="仿宋_GB2312" w:hAnsi="仿宋_GB2312" w:eastAsia="仿宋_GB2312" w:cs="仿宋_GB2312"/>
                <w:color w:val="000000"/>
                <w:sz w:val="24"/>
                <w:highlight w:val="none"/>
              </w:rPr>
              <w:t>两用手锯</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2EDE0E74">
            <w:pPr>
              <w:pStyle w:val="4"/>
              <w:jc w:val="center"/>
              <w:rPr>
                <w:highlight w:val="none"/>
              </w:rPr>
            </w:pPr>
            <w:r>
              <w:rPr>
                <w:rFonts w:ascii="仿宋_GB2312" w:hAnsi="仿宋_GB2312" w:eastAsia="仿宋_GB2312" w:cs="仿宋_GB2312"/>
                <w:color w:val="000000"/>
                <w:sz w:val="24"/>
                <w:highlight w:val="none"/>
              </w:rPr>
              <w:t>把</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0F311756">
            <w:pPr>
              <w:pStyle w:val="4"/>
              <w:jc w:val="center"/>
              <w:rPr>
                <w:highlight w:val="none"/>
              </w:rPr>
            </w:pPr>
            <w:r>
              <w:rPr>
                <w:rFonts w:ascii="仿宋_GB2312" w:hAnsi="仿宋_GB2312" w:eastAsia="仿宋_GB2312" w:cs="仿宋_GB2312"/>
                <w:color w:val="000000"/>
                <w:sz w:val="24"/>
                <w:highlight w:val="none"/>
              </w:rPr>
              <w:t>5</w:t>
            </w:r>
          </w:p>
        </w:tc>
        <w:tc>
          <w:tcPr>
            <w:tcW w:w="11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5C74BFC3">
            <w:pPr>
              <w:pStyle w:val="4"/>
              <w:jc w:val="center"/>
              <w:rPr>
                <w:highlight w:val="none"/>
              </w:rPr>
            </w:pPr>
          </w:p>
        </w:tc>
      </w:tr>
      <w:tr w14:paraId="1EC4D07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2A2D58EB">
            <w:pPr>
              <w:pStyle w:val="4"/>
              <w:jc w:val="center"/>
              <w:rPr>
                <w:highlight w:val="none"/>
              </w:rPr>
            </w:pPr>
            <w:r>
              <w:rPr>
                <w:rFonts w:ascii="仿宋_GB2312" w:hAnsi="仿宋_GB2312" w:eastAsia="仿宋_GB2312" w:cs="仿宋_GB2312"/>
                <w:color w:val="000000"/>
                <w:sz w:val="24"/>
                <w:highlight w:val="none"/>
              </w:rPr>
              <w:t>26</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6632B8AA">
            <w:pPr>
              <w:pStyle w:val="4"/>
              <w:jc w:val="center"/>
              <w:rPr>
                <w:highlight w:val="none"/>
              </w:rPr>
            </w:pPr>
            <w:r>
              <w:rPr>
                <w:rFonts w:ascii="仿宋_GB2312" w:hAnsi="仿宋_GB2312" w:eastAsia="仿宋_GB2312" w:cs="仿宋_GB2312"/>
                <w:color w:val="000000"/>
                <w:sz w:val="24"/>
                <w:highlight w:val="none"/>
              </w:rPr>
              <w:t>镐头</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1FC9ED95">
            <w:pPr>
              <w:pStyle w:val="4"/>
              <w:jc w:val="center"/>
              <w:rPr>
                <w:highlight w:val="none"/>
              </w:rPr>
            </w:pPr>
            <w:r>
              <w:rPr>
                <w:rFonts w:ascii="仿宋_GB2312" w:hAnsi="仿宋_GB2312" w:eastAsia="仿宋_GB2312" w:cs="仿宋_GB2312"/>
                <w:color w:val="000000"/>
                <w:sz w:val="24"/>
                <w:highlight w:val="none"/>
              </w:rPr>
              <w:t>把</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609CB395">
            <w:pPr>
              <w:pStyle w:val="4"/>
              <w:jc w:val="center"/>
              <w:rPr>
                <w:highlight w:val="none"/>
              </w:rPr>
            </w:pPr>
            <w:r>
              <w:rPr>
                <w:rFonts w:ascii="仿宋_GB2312" w:hAnsi="仿宋_GB2312" w:eastAsia="仿宋_GB2312" w:cs="仿宋_GB2312"/>
                <w:color w:val="000000"/>
                <w:sz w:val="24"/>
                <w:highlight w:val="none"/>
              </w:rPr>
              <w:t>5</w:t>
            </w:r>
          </w:p>
        </w:tc>
        <w:tc>
          <w:tcPr>
            <w:tcW w:w="11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3849EC14">
            <w:pPr>
              <w:pStyle w:val="4"/>
              <w:jc w:val="center"/>
              <w:rPr>
                <w:highlight w:val="none"/>
              </w:rPr>
            </w:pPr>
          </w:p>
        </w:tc>
      </w:tr>
      <w:tr w14:paraId="6B11761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4F5ACA1B">
            <w:pPr>
              <w:pStyle w:val="4"/>
              <w:jc w:val="center"/>
              <w:rPr>
                <w:highlight w:val="none"/>
              </w:rPr>
            </w:pPr>
            <w:r>
              <w:rPr>
                <w:rFonts w:ascii="仿宋_GB2312" w:hAnsi="仿宋_GB2312" w:eastAsia="仿宋_GB2312" w:cs="仿宋_GB2312"/>
                <w:color w:val="000000"/>
                <w:sz w:val="24"/>
                <w:highlight w:val="none"/>
              </w:rPr>
              <w:t>27</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0BE6DCFA">
            <w:pPr>
              <w:pStyle w:val="4"/>
              <w:jc w:val="center"/>
              <w:rPr>
                <w:highlight w:val="none"/>
              </w:rPr>
            </w:pPr>
            <w:r>
              <w:rPr>
                <w:rFonts w:ascii="仿宋_GB2312" w:hAnsi="仿宋_GB2312" w:eastAsia="仿宋_GB2312" w:cs="仿宋_GB2312"/>
                <w:color w:val="000000"/>
                <w:sz w:val="24"/>
                <w:highlight w:val="none"/>
              </w:rPr>
              <w:t>草耙(24齿)</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12731CDA">
            <w:pPr>
              <w:pStyle w:val="4"/>
              <w:jc w:val="center"/>
              <w:rPr>
                <w:highlight w:val="none"/>
              </w:rPr>
            </w:pPr>
            <w:r>
              <w:rPr>
                <w:rFonts w:ascii="仿宋_GB2312" w:hAnsi="仿宋_GB2312" w:eastAsia="仿宋_GB2312" w:cs="仿宋_GB2312"/>
                <w:color w:val="000000"/>
                <w:sz w:val="24"/>
                <w:highlight w:val="none"/>
              </w:rPr>
              <w:t>把</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2A2B77C4">
            <w:pPr>
              <w:pStyle w:val="4"/>
              <w:jc w:val="center"/>
              <w:rPr>
                <w:highlight w:val="none"/>
              </w:rPr>
            </w:pPr>
            <w:r>
              <w:rPr>
                <w:rFonts w:ascii="仿宋_GB2312" w:hAnsi="仿宋_GB2312" w:eastAsia="仿宋_GB2312" w:cs="仿宋_GB2312"/>
                <w:color w:val="000000"/>
                <w:sz w:val="24"/>
                <w:highlight w:val="none"/>
              </w:rPr>
              <w:t>5</w:t>
            </w:r>
          </w:p>
        </w:tc>
        <w:tc>
          <w:tcPr>
            <w:tcW w:w="11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7FA4B4AE">
            <w:pPr>
              <w:pStyle w:val="4"/>
              <w:jc w:val="center"/>
              <w:rPr>
                <w:highlight w:val="none"/>
              </w:rPr>
            </w:pPr>
          </w:p>
        </w:tc>
      </w:tr>
      <w:tr w14:paraId="5927FDC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43733E8F">
            <w:pPr>
              <w:pStyle w:val="4"/>
              <w:jc w:val="center"/>
              <w:rPr>
                <w:highlight w:val="none"/>
              </w:rPr>
            </w:pPr>
            <w:r>
              <w:rPr>
                <w:rFonts w:ascii="仿宋_GB2312" w:hAnsi="仿宋_GB2312" w:eastAsia="仿宋_GB2312" w:cs="仿宋_GB2312"/>
                <w:color w:val="000000"/>
                <w:sz w:val="24"/>
                <w:highlight w:val="none"/>
              </w:rPr>
              <w:t>28</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69044D8C">
            <w:pPr>
              <w:pStyle w:val="4"/>
              <w:jc w:val="center"/>
              <w:rPr>
                <w:highlight w:val="none"/>
              </w:rPr>
            </w:pPr>
            <w:r>
              <w:rPr>
                <w:rFonts w:ascii="仿宋_GB2312" w:hAnsi="仿宋_GB2312" w:eastAsia="仿宋_GB2312" w:cs="仿宋_GB2312"/>
                <w:color w:val="000000"/>
                <w:sz w:val="24"/>
                <w:highlight w:val="none"/>
              </w:rPr>
              <w:t>镰刀</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121C74C9">
            <w:pPr>
              <w:pStyle w:val="4"/>
              <w:jc w:val="center"/>
              <w:rPr>
                <w:highlight w:val="none"/>
              </w:rPr>
            </w:pPr>
            <w:r>
              <w:rPr>
                <w:rFonts w:ascii="仿宋_GB2312" w:hAnsi="仿宋_GB2312" w:eastAsia="仿宋_GB2312" w:cs="仿宋_GB2312"/>
                <w:color w:val="000000"/>
                <w:sz w:val="24"/>
                <w:highlight w:val="none"/>
              </w:rPr>
              <w:t>把</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041E89CD">
            <w:pPr>
              <w:pStyle w:val="4"/>
              <w:jc w:val="center"/>
              <w:rPr>
                <w:highlight w:val="none"/>
              </w:rPr>
            </w:pPr>
            <w:r>
              <w:rPr>
                <w:rFonts w:ascii="仿宋_GB2312" w:hAnsi="仿宋_GB2312" w:eastAsia="仿宋_GB2312" w:cs="仿宋_GB2312"/>
                <w:color w:val="000000"/>
                <w:sz w:val="24"/>
                <w:highlight w:val="none"/>
              </w:rPr>
              <w:t>10</w:t>
            </w:r>
          </w:p>
        </w:tc>
        <w:tc>
          <w:tcPr>
            <w:tcW w:w="11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33CF6315">
            <w:pPr>
              <w:pStyle w:val="4"/>
              <w:jc w:val="center"/>
              <w:rPr>
                <w:highlight w:val="none"/>
              </w:rPr>
            </w:pPr>
          </w:p>
        </w:tc>
      </w:tr>
      <w:tr w14:paraId="50B804F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0272DADC">
            <w:pPr>
              <w:pStyle w:val="4"/>
              <w:jc w:val="center"/>
              <w:rPr>
                <w:highlight w:val="none"/>
              </w:rPr>
            </w:pPr>
            <w:r>
              <w:rPr>
                <w:rFonts w:ascii="仿宋_GB2312" w:hAnsi="仿宋_GB2312" w:eastAsia="仿宋_GB2312" w:cs="仿宋_GB2312"/>
                <w:color w:val="000000"/>
                <w:sz w:val="24"/>
                <w:highlight w:val="none"/>
              </w:rPr>
              <w:t>29</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1979FAA5">
            <w:pPr>
              <w:pStyle w:val="4"/>
              <w:jc w:val="center"/>
              <w:rPr>
                <w:highlight w:val="none"/>
              </w:rPr>
            </w:pPr>
            <w:r>
              <w:rPr>
                <w:rFonts w:ascii="仿宋_GB2312" w:hAnsi="仿宋_GB2312" w:eastAsia="仿宋_GB2312" w:cs="仿宋_GB2312"/>
                <w:color w:val="000000"/>
                <w:sz w:val="24"/>
                <w:highlight w:val="none"/>
              </w:rPr>
              <w:t>铁锹</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7CA4D990">
            <w:pPr>
              <w:pStyle w:val="4"/>
              <w:jc w:val="center"/>
              <w:rPr>
                <w:highlight w:val="none"/>
              </w:rPr>
            </w:pPr>
            <w:r>
              <w:rPr>
                <w:rFonts w:ascii="仿宋_GB2312" w:hAnsi="仿宋_GB2312" w:eastAsia="仿宋_GB2312" w:cs="仿宋_GB2312"/>
                <w:color w:val="000000"/>
                <w:sz w:val="24"/>
                <w:highlight w:val="none"/>
              </w:rPr>
              <w:t>把</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002479BF">
            <w:pPr>
              <w:pStyle w:val="4"/>
              <w:jc w:val="center"/>
              <w:rPr>
                <w:highlight w:val="none"/>
              </w:rPr>
            </w:pPr>
            <w:r>
              <w:rPr>
                <w:rFonts w:ascii="仿宋_GB2312" w:hAnsi="仿宋_GB2312" w:eastAsia="仿宋_GB2312" w:cs="仿宋_GB2312"/>
                <w:color w:val="000000"/>
                <w:sz w:val="24"/>
                <w:highlight w:val="none"/>
              </w:rPr>
              <w:t>10</w:t>
            </w:r>
          </w:p>
        </w:tc>
        <w:tc>
          <w:tcPr>
            <w:tcW w:w="11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29AEE7E8">
            <w:pPr>
              <w:pStyle w:val="4"/>
              <w:jc w:val="center"/>
              <w:rPr>
                <w:highlight w:val="none"/>
              </w:rPr>
            </w:pPr>
          </w:p>
        </w:tc>
      </w:tr>
      <w:tr w14:paraId="7987F79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6D632453">
            <w:pPr>
              <w:pStyle w:val="4"/>
              <w:jc w:val="center"/>
              <w:rPr>
                <w:highlight w:val="none"/>
              </w:rPr>
            </w:pPr>
            <w:r>
              <w:rPr>
                <w:rFonts w:ascii="仿宋_GB2312" w:hAnsi="仿宋_GB2312" w:eastAsia="仿宋_GB2312" w:cs="仿宋_GB2312"/>
                <w:color w:val="000000"/>
                <w:sz w:val="24"/>
                <w:highlight w:val="none"/>
              </w:rPr>
              <w:t>30</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33B8F4F0">
            <w:pPr>
              <w:pStyle w:val="4"/>
              <w:jc w:val="center"/>
              <w:rPr>
                <w:highlight w:val="none"/>
              </w:rPr>
            </w:pPr>
            <w:r>
              <w:rPr>
                <w:rFonts w:ascii="仿宋_GB2312" w:hAnsi="仿宋_GB2312" w:eastAsia="仿宋_GB2312" w:cs="仿宋_GB2312"/>
                <w:color w:val="000000"/>
                <w:sz w:val="24"/>
                <w:highlight w:val="none"/>
              </w:rPr>
              <w:t>透顶防护帽</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38823A21">
            <w:pPr>
              <w:pStyle w:val="4"/>
              <w:jc w:val="center"/>
              <w:rPr>
                <w:highlight w:val="none"/>
              </w:rPr>
            </w:pPr>
            <w:r>
              <w:rPr>
                <w:rFonts w:ascii="仿宋_GB2312" w:hAnsi="仿宋_GB2312" w:eastAsia="仿宋_GB2312" w:cs="仿宋_GB2312"/>
                <w:color w:val="000000"/>
                <w:sz w:val="24"/>
                <w:highlight w:val="none"/>
              </w:rPr>
              <w:t>顶</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11382AC6">
            <w:pPr>
              <w:pStyle w:val="4"/>
              <w:jc w:val="center"/>
              <w:rPr>
                <w:highlight w:val="none"/>
              </w:rPr>
            </w:pPr>
            <w:r>
              <w:rPr>
                <w:rFonts w:ascii="仿宋_GB2312" w:hAnsi="仿宋_GB2312" w:eastAsia="仿宋_GB2312" w:cs="仿宋_GB2312"/>
                <w:color w:val="000000"/>
                <w:sz w:val="24"/>
                <w:highlight w:val="none"/>
              </w:rPr>
              <w:t>10</w:t>
            </w:r>
          </w:p>
        </w:tc>
        <w:tc>
          <w:tcPr>
            <w:tcW w:w="11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1BE0FBA1">
            <w:pPr>
              <w:pStyle w:val="4"/>
              <w:jc w:val="center"/>
              <w:rPr>
                <w:highlight w:val="none"/>
              </w:rPr>
            </w:pPr>
          </w:p>
        </w:tc>
      </w:tr>
      <w:tr w14:paraId="3C25F67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08535EF1">
            <w:pPr>
              <w:pStyle w:val="4"/>
              <w:jc w:val="center"/>
              <w:rPr>
                <w:highlight w:val="none"/>
              </w:rPr>
            </w:pPr>
            <w:r>
              <w:rPr>
                <w:rFonts w:ascii="仿宋_GB2312" w:hAnsi="仿宋_GB2312" w:eastAsia="仿宋_GB2312" w:cs="仿宋_GB2312"/>
                <w:color w:val="000000"/>
                <w:sz w:val="24"/>
                <w:highlight w:val="none"/>
              </w:rPr>
              <w:t>31</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16F48FCB">
            <w:pPr>
              <w:pStyle w:val="4"/>
              <w:jc w:val="center"/>
              <w:rPr>
                <w:highlight w:val="none"/>
              </w:rPr>
            </w:pPr>
            <w:r>
              <w:rPr>
                <w:rFonts w:ascii="仿宋_GB2312" w:hAnsi="仿宋_GB2312" w:eastAsia="仿宋_GB2312" w:cs="仿宋_GB2312"/>
                <w:color w:val="000000"/>
                <w:sz w:val="24"/>
                <w:highlight w:val="none"/>
              </w:rPr>
              <w:t>防台风、防汛专业沙袋</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1C2048F7">
            <w:pPr>
              <w:pStyle w:val="4"/>
              <w:jc w:val="center"/>
              <w:rPr>
                <w:highlight w:val="none"/>
              </w:rPr>
            </w:pPr>
            <w:r>
              <w:rPr>
                <w:rFonts w:ascii="仿宋_GB2312" w:hAnsi="仿宋_GB2312" w:eastAsia="仿宋_GB2312" w:cs="仿宋_GB2312"/>
                <w:color w:val="000000"/>
                <w:sz w:val="24"/>
                <w:highlight w:val="none"/>
              </w:rPr>
              <w:t>只</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1091CAD9">
            <w:pPr>
              <w:pStyle w:val="4"/>
              <w:jc w:val="center"/>
              <w:rPr>
                <w:highlight w:val="none"/>
              </w:rPr>
            </w:pPr>
            <w:r>
              <w:rPr>
                <w:rFonts w:ascii="仿宋_GB2312" w:hAnsi="仿宋_GB2312" w:eastAsia="仿宋_GB2312" w:cs="仿宋_GB2312"/>
                <w:color w:val="000000"/>
                <w:sz w:val="24"/>
                <w:highlight w:val="none"/>
              </w:rPr>
              <w:t>1000</w:t>
            </w:r>
          </w:p>
        </w:tc>
        <w:tc>
          <w:tcPr>
            <w:tcW w:w="1115"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7C164EF8">
            <w:pPr>
              <w:pStyle w:val="4"/>
              <w:jc w:val="center"/>
              <w:rPr>
                <w:highlight w:val="none"/>
              </w:rPr>
            </w:pPr>
            <w:r>
              <w:rPr>
                <w:rFonts w:ascii="仿宋_GB2312" w:hAnsi="仿宋_GB2312" w:eastAsia="仿宋_GB2312" w:cs="仿宋_GB2312"/>
                <w:color w:val="000000"/>
                <w:sz w:val="24"/>
                <w:highlight w:val="none"/>
              </w:rPr>
              <w:t>30×80</w:t>
            </w:r>
          </w:p>
        </w:tc>
      </w:tr>
      <w:tr w14:paraId="1CFB270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28A84866">
            <w:pPr>
              <w:pStyle w:val="4"/>
              <w:jc w:val="center"/>
              <w:rPr>
                <w:highlight w:val="none"/>
              </w:rPr>
            </w:pPr>
            <w:r>
              <w:rPr>
                <w:rFonts w:ascii="仿宋_GB2312" w:hAnsi="仿宋_GB2312" w:eastAsia="仿宋_GB2312" w:cs="仿宋_GB2312"/>
                <w:color w:val="000000"/>
                <w:sz w:val="24"/>
                <w:highlight w:val="none"/>
              </w:rPr>
              <w:t>32</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1BA76C33">
            <w:pPr>
              <w:pStyle w:val="4"/>
              <w:jc w:val="center"/>
              <w:rPr>
                <w:highlight w:val="none"/>
              </w:rPr>
            </w:pPr>
            <w:r>
              <w:rPr>
                <w:rFonts w:ascii="仿宋_GB2312" w:hAnsi="仿宋_GB2312" w:eastAsia="仿宋_GB2312" w:cs="仿宋_GB2312"/>
                <w:color w:val="000000"/>
                <w:sz w:val="24"/>
                <w:highlight w:val="none"/>
              </w:rPr>
              <w:t>抗洪救生衣</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7CB728CC">
            <w:pPr>
              <w:pStyle w:val="4"/>
              <w:jc w:val="center"/>
              <w:rPr>
                <w:highlight w:val="none"/>
              </w:rPr>
            </w:pPr>
            <w:r>
              <w:rPr>
                <w:rFonts w:ascii="仿宋_GB2312" w:hAnsi="仿宋_GB2312" w:eastAsia="仿宋_GB2312" w:cs="仿宋_GB2312"/>
                <w:color w:val="000000"/>
                <w:sz w:val="24"/>
                <w:highlight w:val="none"/>
              </w:rPr>
              <w:t>件</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712A3D87">
            <w:pPr>
              <w:pStyle w:val="4"/>
              <w:jc w:val="center"/>
              <w:rPr>
                <w:highlight w:val="none"/>
              </w:rPr>
            </w:pPr>
            <w:r>
              <w:rPr>
                <w:rFonts w:ascii="仿宋_GB2312" w:hAnsi="仿宋_GB2312" w:eastAsia="仿宋_GB2312" w:cs="仿宋_GB2312"/>
                <w:color w:val="000000"/>
                <w:sz w:val="24"/>
                <w:highlight w:val="none"/>
              </w:rPr>
              <w:t>10</w:t>
            </w:r>
          </w:p>
        </w:tc>
        <w:tc>
          <w:tcPr>
            <w:tcW w:w="1115"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1AE91650">
            <w:pPr>
              <w:pStyle w:val="4"/>
              <w:jc w:val="center"/>
              <w:rPr>
                <w:highlight w:val="none"/>
              </w:rPr>
            </w:pPr>
          </w:p>
        </w:tc>
      </w:tr>
      <w:tr w14:paraId="1427A4C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04DD03F3">
            <w:pPr>
              <w:pStyle w:val="4"/>
              <w:jc w:val="center"/>
              <w:rPr>
                <w:highlight w:val="none"/>
              </w:rPr>
            </w:pPr>
            <w:r>
              <w:rPr>
                <w:rFonts w:ascii="仿宋_GB2312" w:hAnsi="仿宋_GB2312" w:eastAsia="仿宋_GB2312" w:cs="仿宋_GB2312"/>
                <w:color w:val="000000"/>
                <w:sz w:val="24"/>
                <w:highlight w:val="none"/>
              </w:rPr>
              <w:t>33</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2B82E7E5">
            <w:pPr>
              <w:pStyle w:val="4"/>
              <w:jc w:val="center"/>
              <w:rPr>
                <w:highlight w:val="none"/>
              </w:rPr>
            </w:pPr>
            <w:r>
              <w:rPr>
                <w:rFonts w:ascii="仿宋_GB2312" w:hAnsi="仿宋_GB2312" w:eastAsia="仿宋_GB2312" w:cs="仿宋_GB2312"/>
                <w:color w:val="000000"/>
                <w:sz w:val="24"/>
                <w:highlight w:val="none"/>
              </w:rPr>
              <w:t>雨衣</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51190C24">
            <w:pPr>
              <w:pStyle w:val="4"/>
              <w:jc w:val="center"/>
              <w:rPr>
                <w:highlight w:val="none"/>
              </w:rPr>
            </w:pPr>
            <w:r>
              <w:rPr>
                <w:rFonts w:ascii="仿宋_GB2312" w:hAnsi="仿宋_GB2312" w:eastAsia="仿宋_GB2312" w:cs="仿宋_GB2312"/>
                <w:color w:val="000000"/>
                <w:sz w:val="24"/>
                <w:highlight w:val="none"/>
              </w:rPr>
              <w:t>件</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76D7222C">
            <w:pPr>
              <w:pStyle w:val="4"/>
              <w:jc w:val="center"/>
              <w:rPr>
                <w:highlight w:val="none"/>
              </w:rPr>
            </w:pPr>
            <w:r>
              <w:rPr>
                <w:rFonts w:ascii="仿宋_GB2312" w:hAnsi="仿宋_GB2312" w:eastAsia="仿宋_GB2312" w:cs="仿宋_GB2312"/>
                <w:color w:val="000000"/>
                <w:sz w:val="24"/>
                <w:highlight w:val="none"/>
              </w:rPr>
              <w:t>30</w:t>
            </w:r>
          </w:p>
        </w:tc>
        <w:tc>
          <w:tcPr>
            <w:tcW w:w="1115"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1FC9E10D">
            <w:pPr>
              <w:pStyle w:val="4"/>
              <w:jc w:val="center"/>
              <w:rPr>
                <w:highlight w:val="none"/>
              </w:rPr>
            </w:pPr>
          </w:p>
        </w:tc>
      </w:tr>
      <w:tr w14:paraId="602F82E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5A0FEB3E">
            <w:pPr>
              <w:pStyle w:val="4"/>
              <w:jc w:val="center"/>
              <w:rPr>
                <w:highlight w:val="none"/>
              </w:rPr>
            </w:pPr>
            <w:r>
              <w:rPr>
                <w:rFonts w:ascii="仿宋_GB2312" w:hAnsi="仿宋_GB2312" w:eastAsia="仿宋_GB2312" w:cs="仿宋_GB2312"/>
                <w:color w:val="000000"/>
                <w:sz w:val="24"/>
                <w:highlight w:val="none"/>
              </w:rPr>
              <w:t>34</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220C5B1D">
            <w:pPr>
              <w:pStyle w:val="4"/>
              <w:jc w:val="center"/>
              <w:rPr>
                <w:highlight w:val="none"/>
              </w:rPr>
            </w:pPr>
            <w:r>
              <w:rPr>
                <w:rFonts w:ascii="仿宋_GB2312" w:hAnsi="仿宋_GB2312" w:eastAsia="仿宋_GB2312" w:cs="仿宋_GB2312"/>
                <w:color w:val="000000"/>
                <w:sz w:val="24"/>
                <w:highlight w:val="none"/>
              </w:rPr>
              <w:t>雨鞋</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6C0AED7D">
            <w:pPr>
              <w:pStyle w:val="4"/>
              <w:jc w:val="center"/>
              <w:rPr>
                <w:highlight w:val="none"/>
              </w:rPr>
            </w:pPr>
            <w:r>
              <w:rPr>
                <w:rFonts w:ascii="仿宋_GB2312" w:hAnsi="仿宋_GB2312" w:eastAsia="仿宋_GB2312" w:cs="仿宋_GB2312"/>
                <w:color w:val="000000"/>
                <w:sz w:val="24"/>
                <w:highlight w:val="none"/>
              </w:rPr>
              <w:t>双</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36CD4C18">
            <w:pPr>
              <w:pStyle w:val="4"/>
              <w:jc w:val="center"/>
              <w:rPr>
                <w:highlight w:val="none"/>
              </w:rPr>
            </w:pPr>
            <w:r>
              <w:rPr>
                <w:rFonts w:ascii="仿宋_GB2312" w:hAnsi="仿宋_GB2312" w:eastAsia="仿宋_GB2312" w:cs="仿宋_GB2312"/>
                <w:color w:val="000000"/>
                <w:sz w:val="24"/>
                <w:highlight w:val="none"/>
              </w:rPr>
              <w:t>30</w:t>
            </w:r>
          </w:p>
        </w:tc>
        <w:tc>
          <w:tcPr>
            <w:tcW w:w="1115"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0A21A4F2">
            <w:pPr>
              <w:pStyle w:val="4"/>
              <w:jc w:val="center"/>
              <w:rPr>
                <w:highlight w:val="none"/>
              </w:rPr>
            </w:pPr>
          </w:p>
        </w:tc>
      </w:tr>
      <w:tr w14:paraId="3AA40FF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564B917A">
            <w:pPr>
              <w:pStyle w:val="4"/>
              <w:jc w:val="center"/>
              <w:rPr>
                <w:highlight w:val="none"/>
              </w:rPr>
            </w:pPr>
            <w:r>
              <w:rPr>
                <w:rFonts w:ascii="仿宋_GB2312" w:hAnsi="仿宋_GB2312" w:eastAsia="仿宋_GB2312" w:cs="仿宋_GB2312"/>
                <w:color w:val="000000"/>
                <w:sz w:val="24"/>
                <w:highlight w:val="none"/>
              </w:rPr>
              <w:t>35</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79CAC760">
            <w:pPr>
              <w:pStyle w:val="4"/>
              <w:jc w:val="center"/>
              <w:rPr>
                <w:highlight w:val="none"/>
              </w:rPr>
            </w:pPr>
            <w:r>
              <w:rPr>
                <w:rFonts w:ascii="仿宋_GB2312" w:hAnsi="仿宋_GB2312" w:eastAsia="仿宋_GB2312" w:cs="仿宋_GB2312"/>
                <w:color w:val="000000"/>
                <w:sz w:val="24"/>
                <w:highlight w:val="none"/>
              </w:rPr>
              <w:t>强光手电</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1D9F0D30">
            <w:pPr>
              <w:pStyle w:val="4"/>
              <w:jc w:val="center"/>
              <w:rPr>
                <w:highlight w:val="none"/>
              </w:rPr>
            </w:pPr>
            <w:r>
              <w:rPr>
                <w:rFonts w:ascii="仿宋_GB2312" w:hAnsi="仿宋_GB2312" w:eastAsia="仿宋_GB2312" w:cs="仿宋_GB2312"/>
                <w:color w:val="000000"/>
                <w:sz w:val="24"/>
                <w:highlight w:val="none"/>
              </w:rPr>
              <w:t>个</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7C0922C5">
            <w:pPr>
              <w:pStyle w:val="4"/>
              <w:jc w:val="center"/>
              <w:rPr>
                <w:highlight w:val="none"/>
              </w:rPr>
            </w:pPr>
            <w:r>
              <w:rPr>
                <w:rFonts w:ascii="仿宋_GB2312" w:hAnsi="仿宋_GB2312" w:eastAsia="仿宋_GB2312" w:cs="仿宋_GB2312"/>
                <w:color w:val="000000"/>
                <w:sz w:val="24"/>
                <w:highlight w:val="none"/>
              </w:rPr>
              <w:t>4</w:t>
            </w:r>
          </w:p>
        </w:tc>
        <w:tc>
          <w:tcPr>
            <w:tcW w:w="1115"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6834E2F9">
            <w:pPr>
              <w:pStyle w:val="4"/>
              <w:jc w:val="center"/>
              <w:rPr>
                <w:highlight w:val="none"/>
              </w:rPr>
            </w:pPr>
          </w:p>
        </w:tc>
      </w:tr>
      <w:tr w14:paraId="1790BE8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26D07345">
            <w:pPr>
              <w:pStyle w:val="4"/>
              <w:jc w:val="center"/>
              <w:rPr>
                <w:highlight w:val="none"/>
              </w:rPr>
            </w:pPr>
            <w:r>
              <w:rPr>
                <w:rFonts w:ascii="仿宋_GB2312" w:hAnsi="仿宋_GB2312" w:eastAsia="仿宋_GB2312" w:cs="仿宋_GB2312"/>
                <w:color w:val="000000"/>
                <w:sz w:val="24"/>
                <w:highlight w:val="none"/>
              </w:rPr>
              <w:t>36</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31C3A2F0">
            <w:pPr>
              <w:pStyle w:val="4"/>
              <w:jc w:val="center"/>
              <w:rPr>
                <w:highlight w:val="none"/>
              </w:rPr>
            </w:pPr>
            <w:r>
              <w:rPr>
                <w:rFonts w:ascii="仿宋_GB2312" w:hAnsi="仿宋_GB2312" w:eastAsia="仿宋_GB2312" w:cs="仿宋_GB2312"/>
                <w:color w:val="000000"/>
                <w:sz w:val="24"/>
                <w:highlight w:val="none"/>
              </w:rPr>
              <w:t>手电</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1FE04B4D">
            <w:pPr>
              <w:pStyle w:val="4"/>
              <w:jc w:val="center"/>
              <w:rPr>
                <w:highlight w:val="none"/>
              </w:rPr>
            </w:pPr>
            <w:r>
              <w:rPr>
                <w:rFonts w:ascii="仿宋_GB2312" w:hAnsi="仿宋_GB2312" w:eastAsia="仿宋_GB2312" w:cs="仿宋_GB2312"/>
                <w:color w:val="000000"/>
                <w:sz w:val="24"/>
                <w:highlight w:val="none"/>
              </w:rPr>
              <w:t>个</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401584F6">
            <w:pPr>
              <w:pStyle w:val="4"/>
              <w:jc w:val="center"/>
              <w:rPr>
                <w:highlight w:val="none"/>
              </w:rPr>
            </w:pPr>
            <w:r>
              <w:rPr>
                <w:rFonts w:ascii="仿宋_GB2312" w:hAnsi="仿宋_GB2312" w:eastAsia="仿宋_GB2312" w:cs="仿宋_GB2312"/>
                <w:color w:val="000000"/>
                <w:sz w:val="24"/>
                <w:highlight w:val="none"/>
              </w:rPr>
              <w:t>20</w:t>
            </w:r>
          </w:p>
        </w:tc>
        <w:tc>
          <w:tcPr>
            <w:tcW w:w="1115"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5424F77D">
            <w:pPr>
              <w:pStyle w:val="4"/>
              <w:jc w:val="center"/>
              <w:rPr>
                <w:highlight w:val="none"/>
              </w:rPr>
            </w:pPr>
          </w:p>
        </w:tc>
      </w:tr>
      <w:tr w14:paraId="40A91DB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3FF864ED">
            <w:pPr>
              <w:pStyle w:val="4"/>
              <w:jc w:val="center"/>
              <w:rPr>
                <w:highlight w:val="none"/>
              </w:rPr>
            </w:pPr>
            <w:r>
              <w:rPr>
                <w:rFonts w:ascii="仿宋_GB2312" w:hAnsi="仿宋_GB2312" w:eastAsia="仿宋_GB2312" w:cs="仿宋_GB2312"/>
                <w:color w:val="000000"/>
                <w:sz w:val="24"/>
                <w:highlight w:val="none"/>
              </w:rPr>
              <w:t>37</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3F893AE8">
            <w:pPr>
              <w:pStyle w:val="4"/>
              <w:jc w:val="center"/>
              <w:rPr>
                <w:highlight w:val="none"/>
              </w:rPr>
            </w:pPr>
            <w:r>
              <w:rPr>
                <w:rFonts w:ascii="仿宋_GB2312" w:hAnsi="仿宋_GB2312" w:eastAsia="仿宋_GB2312" w:cs="仿宋_GB2312"/>
                <w:color w:val="000000"/>
                <w:sz w:val="24"/>
                <w:highlight w:val="none"/>
              </w:rPr>
              <w:t>警戒灯</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24824547">
            <w:pPr>
              <w:pStyle w:val="4"/>
              <w:jc w:val="center"/>
              <w:rPr>
                <w:highlight w:val="none"/>
              </w:rPr>
            </w:pPr>
            <w:r>
              <w:rPr>
                <w:rFonts w:ascii="仿宋_GB2312" w:hAnsi="仿宋_GB2312" w:eastAsia="仿宋_GB2312" w:cs="仿宋_GB2312"/>
                <w:color w:val="000000"/>
                <w:sz w:val="24"/>
                <w:highlight w:val="none"/>
              </w:rPr>
              <w:t>个</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6461D5C8">
            <w:pPr>
              <w:pStyle w:val="4"/>
              <w:jc w:val="center"/>
              <w:rPr>
                <w:highlight w:val="none"/>
              </w:rPr>
            </w:pPr>
            <w:r>
              <w:rPr>
                <w:rFonts w:ascii="仿宋_GB2312" w:hAnsi="仿宋_GB2312" w:eastAsia="仿宋_GB2312" w:cs="仿宋_GB2312"/>
                <w:color w:val="000000"/>
                <w:sz w:val="24"/>
                <w:highlight w:val="none"/>
              </w:rPr>
              <w:t>10</w:t>
            </w:r>
          </w:p>
        </w:tc>
        <w:tc>
          <w:tcPr>
            <w:tcW w:w="1115"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34A2FE75">
            <w:pPr>
              <w:pStyle w:val="4"/>
              <w:jc w:val="center"/>
              <w:rPr>
                <w:highlight w:val="none"/>
              </w:rPr>
            </w:pPr>
          </w:p>
        </w:tc>
      </w:tr>
      <w:tr w14:paraId="5A6CAFF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030055B6">
            <w:pPr>
              <w:pStyle w:val="4"/>
              <w:jc w:val="center"/>
              <w:rPr>
                <w:highlight w:val="none"/>
              </w:rPr>
            </w:pPr>
            <w:r>
              <w:rPr>
                <w:rFonts w:ascii="仿宋_GB2312" w:hAnsi="仿宋_GB2312" w:eastAsia="仿宋_GB2312" w:cs="仿宋_GB2312"/>
                <w:color w:val="000000"/>
                <w:sz w:val="24"/>
                <w:highlight w:val="none"/>
              </w:rPr>
              <w:t>38</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21E7F531">
            <w:pPr>
              <w:pStyle w:val="4"/>
              <w:jc w:val="center"/>
              <w:rPr>
                <w:highlight w:val="none"/>
              </w:rPr>
            </w:pPr>
            <w:r>
              <w:rPr>
                <w:rFonts w:ascii="仿宋_GB2312" w:hAnsi="仿宋_GB2312" w:eastAsia="仿宋_GB2312" w:cs="仿宋_GB2312"/>
                <w:color w:val="000000"/>
                <w:sz w:val="24"/>
                <w:highlight w:val="none"/>
              </w:rPr>
              <w:t>太平斧</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65A622BA">
            <w:pPr>
              <w:pStyle w:val="4"/>
              <w:jc w:val="center"/>
              <w:rPr>
                <w:highlight w:val="none"/>
              </w:rPr>
            </w:pPr>
            <w:r>
              <w:rPr>
                <w:rFonts w:ascii="仿宋_GB2312" w:hAnsi="仿宋_GB2312" w:eastAsia="仿宋_GB2312" w:cs="仿宋_GB2312"/>
                <w:color w:val="000000"/>
                <w:sz w:val="24"/>
                <w:highlight w:val="none"/>
              </w:rPr>
              <w:t>把</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6A338902">
            <w:pPr>
              <w:pStyle w:val="4"/>
              <w:jc w:val="center"/>
              <w:rPr>
                <w:highlight w:val="none"/>
              </w:rPr>
            </w:pPr>
            <w:r>
              <w:rPr>
                <w:rFonts w:ascii="仿宋_GB2312" w:hAnsi="仿宋_GB2312" w:eastAsia="仿宋_GB2312" w:cs="仿宋_GB2312"/>
                <w:color w:val="000000"/>
                <w:sz w:val="24"/>
                <w:highlight w:val="none"/>
              </w:rPr>
              <w:t>4</w:t>
            </w:r>
          </w:p>
        </w:tc>
        <w:tc>
          <w:tcPr>
            <w:tcW w:w="1115"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0E052740">
            <w:pPr>
              <w:pStyle w:val="4"/>
              <w:jc w:val="center"/>
              <w:rPr>
                <w:highlight w:val="none"/>
              </w:rPr>
            </w:pPr>
          </w:p>
        </w:tc>
      </w:tr>
      <w:tr w14:paraId="620C72E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7A346D43">
            <w:pPr>
              <w:pStyle w:val="4"/>
              <w:jc w:val="center"/>
              <w:rPr>
                <w:highlight w:val="none"/>
              </w:rPr>
            </w:pPr>
            <w:r>
              <w:rPr>
                <w:rFonts w:ascii="仿宋_GB2312" w:hAnsi="仿宋_GB2312" w:eastAsia="仿宋_GB2312" w:cs="仿宋_GB2312"/>
                <w:color w:val="000000"/>
                <w:sz w:val="24"/>
                <w:highlight w:val="none"/>
              </w:rPr>
              <w:t>39</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78F45AA0">
            <w:pPr>
              <w:pStyle w:val="4"/>
              <w:jc w:val="center"/>
              <w:rPr>
                <w:highlight w:val="none"/>
              </w:rPr>
            </w:pPr>
            <w:r>
              <w:rPr>
                <w:rFonts w:ascii="仿宋_GB2312" w:hAnsi="仿宋_GB2312" w:eastAsia="仿宋_GB2312" w:cs="仿宋_GB2312"/>
                <w:color w:val="000000"/>
                <w:sz w:val="24"/>
                <w:highlight w:val="none"/>
              </w:rPr>
              <w:t>喊话喇叭</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49349C0B">
            <w:pPr>
              <w:pStyle w:val="4"/>
              <w:jc w:val="center"/>
              <w:rPr>
                <w:highlight w:val="none"/>
              </w:rPr>
            </w:pPr>
            <w:r>
              <w:rPr>
                <w:rFonts w:ascii="仿宋_GB2312" w:hAnsi="仿宋_GB2312" w:eastAsia="仿宋_GB2312" w:cs="仿宋_GB2312"/>
                <w:color w:val="000000"/>
                <w:sz w:val="24"/>
                <w:highlight w:val="none"/>
              </w:rPr>
              <w:t>个</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7CA1A6D6">
            <w:pPr>
              <w:pStyle w:val="4"/>
              <w:jc w:val="center"/>
              <w:rPr>
                <w:highlight w:val="none"/>
              </w:rPr>
            </w:pPr>
            <w:r>
              <w:rPr>
                <w:rFonts w:ascii="仿宋_GB2312" w:hAnsi="仿宋_GB2312" w:eastAsia="仿宋_GB2312" w:cs="仿宋_GB2312"/>
                <w:color w:val="000000"/>
                <w:sz w:val="24"/>
                <w:highlight w:val="none"/>
              </w:rPr>
              <w:t>3</w:t>
            </w:r>
          </w:p>
        </w:tc>
        <w:tc>
          <w:tcPr>
            <w:tcW w:w="1115"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49610743">
            <w:pPr>
              <w:pStyle w:val="4"/>
              <w:jc w:val="center"/>
              <w:rPr>
                <w:highlight w:val="none"/>
              </w:rPr>
            </w:pPr>
          </w:p>
        </w:tc>
      </w:tr>
      <w:tr w14:paraId="1D7A009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15" w:type="dxa"/>
            <w:tcBorders>
              <w:top w:val="nil"/>
              <w:left w:val="single" w:color="000000" w:sz="4" w:space="0"/>
              <w:bottom w:val="single" w:color="000000" w:sz="4" w:space="0"/>
              <w:right w:val="single" w:color="000000" w:sz="4" w:space="0"/>
            </w:tcBorders>
            <w:shd w:val="clear" w:color="auto" w:fill="FDFDFE"/>
            <w:tcMar>
              <w:top w:w="0" w:type="dxa"/>
              <w:left w:w="105" w:type="dxa"/>
              <w:bottom w:w="0" w:type="dxa"/>
              <w:right w:w="105" w:type="dxa"/>
            </w:tcMar>
            <w:vAlign w:val="top"/>
          </w:tcPr>
          <w:p w14:paraId="64D87BF7">
            <w:pPr>
              <w:pStyle w:val="4"/>
              <w:jc w:val="center"/>
              <w:rPr>
                <w:highlight w:val="none"/>
              </w:rPr>
            </w:pPr>
            <w:r>
              <w:rPr>
                <w:rFonts w:ascii="仿宋_GB2312" w:hAnsi="仿宋_GB2312" w:eastAsia="仿宋_GB2312" w:cs="仿宋_GB2312"/>
                <w:color w:val="000000"/>
                <w:sz w:val="24"/>
                <w:highlight w:val="none"/>
              </w:rPr>
              <w:t>40</w:t>
            </w:r>
          </w:p>
        </w:tc>
        <w:tc>
          <w:tcPr>
            <w:tcW w:w="3116"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209B3CAB">
            <w:pPr>
              <w:pStyle w:val="4"/>
              <w:jc w:val="center"/>
              <w:rPr>
                <w:highlight w:val="none"/>
              </w:rPr>
            </w:pPr>
            <w:r>
              <w:rPr>
                <w:rFonts w:ascii="仿宋_GB2312" w:hAnsi="仿宋_GB2312" w:eastAsia="仿宋_GB2312" w:cs="仿宋_GB2312"/>
                <w:color w:val="000000"/>
                <w:sz w:val="24"/>
                <w:highlight w:val="none"/>
              </w:rPr>
              <w:t>锄头</w:t>
            </w:r>
          </w:p>
        </w:tc>
        <w:tc>
          <w:tcPr>
            <w:tcW w:w="14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4B4B102C">
            <w:pPr>
              <w:pStyle w:val="4"/>
              <w:jc w:val="center"/>
              <w:rPr>
                <w:highlight w:val="none"/>
              </w:rPr>
            </w:pPr>
            <w:r>
              <w:rPr>
                <w:rFonts w:ascii="仿宋_GB2312" w:hAnsi="仿宋_GB2312" w:eastAsia="仿宋_GB2312" w:cs="仿宋_GB2312"/>
                <w:color w:val="000000"/>
                <w:sz w:val="24"/>
                <w:highlight w:val="none"/>
              </w:rPr>
              <w:t>把</w:t>
            </w:r>
          </w:p>
        </w:tc>
        <w:tc>
          <w:tcPr>
            <w:tcW w:w="1258"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6AAE5CCE">
            <w:pPr>
              <w:pStyle w:val="4"/>
              <w:jc w:val="center"/>
              <w:rPr>
                <w:highlight w:val="none"/>
              </w:rPr>
            </w:pPr>
            <w:r>
              <w:rPr>
                <w:rFonts w:ascii="仿宋_GB2312" w:hAnsi="仿宋_GB2312" w:eastAsia="仿宋_GB2312" w:cs="仿宋_GB2312"/>
                <w:color w:val="000000"/>
                <w:sz w:val="24"/>
                <w:highlight w:val="none"/>
              </w:rPr>
              <w:t>10</w:t>
            </w:r>
          </w:p>
        </w:tc>
        <w:tc>
          <w:tcPr>
            <w:tcW w:w="1115" w:type="dxa"/>
            <w:tcBorders>
              <w:top w:val="nil"/>
              <w:left w:val="nil"/>
              <w:bottom w:val="single" w:color="000000" w:sz="4" w:space="0"/>
              <w:right w:val="single" w:color="000000" w:sz="4" w:space="0"/>
            </w:tcBorders>
            <w:shd w:val="clear" w:color="auto" w:fill="FDFDFE"/>
            <w:tcMar>
              <w:top w:w="0" w:type="dxa"/>
              <w:left w:w="105" w:type="dxa"/>
              <w:bottom w:w="0" w:type="dxa"/>
              <w:right w:w="105" w:type="dxa"/>
            </w:tcMar>
            <w:vAlign w:val="top"/>
          </w:tcPr>
          <w:p w14:paraId="12E7BF9F">
            <w:pPr>
              <w:pStyle w:val="4"/>
              <w:jc w:val="both"/>
              <w:rPr>
                <w:highlight w:val="none"/>
              </w:rPr>
            </w:pPr>
          </w:p>
        </w:tc>
      </w:tr>
    </w:tbl>
    <w:p w14:paraId="0451D6F0">
      <w:pPr>
        <w:pStyle w:val="4"/>
        <w:jc w:val="left"/>
        <w:rPr>
          <w:highlight w:val="none"/>
        </w:rPr>
      </w:pPr>
      <w:r>
        <w:rPr>
          <w:rFonts w:ascii="仿宋_GB2312" w:hAnsi="仿宋_GB2312" w:eastAsia="仿宋_GB2312" w:cs="仿宋_GB2312"/>
          <w:color w:val="000000"/>
          <w:sz w:val="24"/>
          <w:highlight w:val="none"/>
        </w:rPr>
        <w:t>备注：以上物资数量为暂估数，需要根据实际需求无条件配足。</w:t>
      </w:r>
    </w:p>
    <w:p w14:paraId="643C0B74">
      <w:pPr>
        <w:pStyle w:val="4"/>
        <w:ind w:firstLine="480"/>
        <w:jc w:val="both"/>
        <w:rPr>
          <w:highlight w:val="none"/>
        </w:rPr>
      </w:pPr>
      <w:r>
        <w:rPr>
          <w:rFonts w:ascii="仿宋_GB2312" w:hAnsi="仿宋_GB2312" w:eastAsia="仿宋_GB2312" w:cs="仿宋_GB2312"/>
          <w:b/>
          <w:color w:val="000000"/>
          <w:sz w:val="24"/>
          <w:highlight w:val="none"/>
        </w:rPr>
        <w:t>注：“技术和服务要求”的全部内容均为以“★”标示的内容，即“均为不允许负偏离的实质性要求”。</w:t>
      </w:r>
    </w:p>
    <w:p w14:paraId="1281F979">
      <w:pPr>
        <w:pStyle w:val="4"/>
        <w:jc w:val="both"/>
        <w:outlineLvl w:val="2"/>
        <w:rPr>
          <w:highlight w:val="none"/>
        </w:rPr>
      </w:pPr>
      <w:r>
        <w:rPr>
          <w:rFonts w:ascii="仿宋_GB2312" w:hAnsi="仿宋_GB2312" w:eastAsia="仿宋_GB2312" w:cs="仿宋_GB2312"/>
          <w:b/>
          <w:sz w:val="28"/>
          <w:highlight w:val="none"/>
        </w:rPr>
        <w:t>三、商务要求（以“★”标示的内容为不允许负偏离的实质性要求）</w:t>
      </w:r>
    </w:p>
    <w:p w14:paraId="120ECB71">
      <w:pPr>
        <w:pStyle w:val="4"/>
        <w:jc w:val="left"/>
        <w:rPr>
          <w:highlight w:val="none"/>
        </w:rPr>
      </w:pPr>
      <w:r>
        <w:rPr>
          <w:rFonts w:ascii="仿宋_GB2312" w:hAnsi="仿宋_GB2312" w:eastAsia="仿宋_GB2312" w:cs="仿宋_GB2312"/>
          <w:highlight w:val="none"/>
        </w:rPr>
        <w:t>采购包1：</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36"/>
        <w:gridCol w:w="1013"/>
        <w:gridCol w:w="1462"/>
        <w:gridCol w:w="5093"/>
      </w:tblGrid>
      <w:tr w14:paraId="0380FD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36" w:type="dxa"/>
          </w:tcPr>
          <w:p w14:paraId="66151966">
            <w:pPr>
              <w:pStyle w:val="4"/>
              <w:jc w:val="left"/>
              <w:rPr>
                <w:highlight w:val="none"/>
              </w:rPr>
            </w:pPr>
            <w:r>
              <w:rPr>
                <w:rFonts w:ascii="仿宋_GB2312" w:hAnsi="仿宋_GB2312" w:eastAsia="仿宋_GB2312" w:cs="仿宋_GB2312"/>
                <w:highlight w:val="none"/>
              </w:rPr>
              <w:t>序号</w:t>
            </w:r>
          </w:p>
        </w:tc>
        <w:tc>
          <w:tcPr>
            <w:tcW w:w="1013" w:type="dxa"/>
          </w:tcPr>
          <w:p w14:paraId="6DAC724D">
            <w:pPr>
              <w:pStyle w:val="4"/>
              <w:jc w:val="left"/>
              <w:rPr>
                <w:highlight w:val="none"/>
              </w:rPr>
            </w:pPr>
            <w:r>
              <w:rPr>
                <w:rFonts w:ascii="仿宋_GB2312" w:hAnsi="仿宋_GB2312" w:eastAsia="仿宋_GB2312" w:cs="仿宋_GB2312"/>
                <w:highlight w:val="none"/>
              </w:rPr>
              <w:t>参数性质</w:t>
            </w:r>
          </w:p>
        </w:tc>
        <w:tc>
          <w:tcPr>
            <w:tcW w:w="1462" w:type="dxa"/>
          </w:tcPr>
          <w:p w14:paraId="5C7CDC65">
            <w:pPr>
              <w:pStyle w:val="4"/>
              <w:jc w:val="left"/>
              <w:rPr>
                <w:highlight w:val="none"/>
              </w:rPr>
            </w:pPr>
            <w:r>
              <w:rPr>
                <w:rFonts w:ascii="仿宋_GB2312" w:hAnsi="仿宋_GB2312" w:eastAsia="仿宋_GB2312" w:cs="仿宋_GB2312"/>
                <w:highlight w:val="none"/>
              </w:rPr>
              <w:t>类型</w:t>
            </w:r>
          </w:p>
        </w:tc>
        <w:tc>
          <w:tcPr>
            <w:tcW w:w="5093" w:type="dxa"/>
          </w:tcPr>
          <w:p w14:paraId="5899A677">
            <w:pPr>
              <w:pStyle w:val="4"/>
              <w:jc w:val="left"/>
              <w:rPr>
                <w:highlight w:val="none"/>
              </w:rPr>
            </w:pPr>
            <w:r>
              <w:rPr>
                <w:rFonts w:ascii="仿宋_GB2312" w:hAnsi="仿宋_GB2312" w:eastAsia="仿宋_GB2312" w:cs="仿宋_GB2312"/>
                <w:highlight w:val="none"/>
              </w:rPr>
              <w:t>要求</w:t>
            </w:r>
          </w:p>
        </w:tc>
      </w:tr>
      <w:tr w14:paraId="032892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36" w:type="dxa"/>
          </w:tcPr>
          <w:p w14:paraId="446E3CAB">
            <w:pPr>
              <w:pStyle w:val="4"/>
              <w:jc w:val="left"/>
              <w:rPr>
                <w:highlight w:val="none"/>
              </w:rPr>
            </w:pPr>
            <w:r>
              <w:rPr>
                <w:rFonts w:ascii="仿宋_GB2312" w:hAnsi="仿宋_GB2312" w:eastAsia="仿宋_GB2312" w:cs="仿宋_GB2312"/>
                <w:highlight w:val="none"/>
              </w:rPr>
              <w:t>1</w:t>
            </w:r>
          </w:p>
        </w:tc>
        <w:tc>
          <w:tcPr>
            <w:tcW w:w="1013" w:type="dxa"/>
          </w:tcPr>
          <w:p w14:paraId="40D33894">
            <w:pPr>
              <w:rPr>
                <w:highlight w:val="none"/>
              </w:rPr>
            </w:pPr>
          </w:p>
        </w:tc>
        <w:tc>
          <w:tcPr>
            <w:tcW w:w="1462" w:type="dxa"/>
          </w:tcPr>
          <w:p w14:paraId="5ED81731">
            <w:pPr>
              <w:pStyle w:val="4"/>
              <w:jc w:val="left"/>
              <w:rPr>
                <w:highlight w:val="none"/>
              </w:rPr>
            </w:pPr>
            <w:r>
              <w:rPr>
                <w:rFonts w:ascii="仿宋_GB2312" w:hAnsi="仿宋_GB2312" w:eastAsia="仿宋_GB2312" w:cs="仿宋_GB2312"/>
                <w:highlight w:val="none"/>
              </w:rPr>
              <w:t>交货时间</w:t>
            </w:r>
          </w:p>
        </w:tc>
        <w:tc>
          <w:tcPr>
            <w:tcW w:w="5093" w:type="dxa"/>
          </w:tcPr>
          <w:p w14:paraId="4F53C585">
            <w:pPr>
              <w:pStyle w:val="4"/>
              <w:jc w:val="left"/>
              <w:rPr>
                <w:highlight w:val="none"/>
              </w:rPr>
            </w:pPr>
            <w:r>
              <w:rPr>
                <w:rFonts w:ascii="仿宋_GB2312" w:hAnsi="仿宋_GB2312" w:eastAsia="仿宋_GB2312" w:cs="仿宋_GB2312"/>
                <w:highlight w:val="none"/>
              </w:rPr>
              <w:t>合同签订后5日内即开始提供服务。服务期12个月。</w:t>
            </w:r>
          </w:p>
        </w:tc>
      </w:tr>
      <w:tr w14:paraId="061C0E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36" w:type="dxa"/>
          </w:tcPr>
          <w:p w14:paraId="70A8E8A7">
            <w:pPr>
              <w:pStyle w:val="4"/>
              <w:jc w:val="left"/>
              <w:rPr>
                <w:highlight w:val="none"/>
              </w:rPr>
            </w:pPr>
            <w:r>
              <w:rPr>
                <w:rFonts w:ascii="仿宋_GB2312" w:hAnsi="仿宋_GB2312" w:eastAsia="仿宋_GB2312" w:cs="仿宋_GB2312"/>
                <w:highlight w:val="none"/>
              </w:rPr>
              <w:t>2</w:t>
            </w:r>
          </w:p>
        </w:tc>
        <w:tc>
          <w:tcPr>
            <w:tcW w:w="1013" w:type="dxa"/>
          </w:tcPr>
          <w:p w14:paraId="45453A48">
            <w:pPr>
              <w:rPr>
                <w:highlight w:val="none"/>
              </w:rPr>
            </w:pPr>
          </w:p>
        </w:tc>
        <w:tc>
          <w:tcPr>
            <w:tcW w:w="1462" w:type="dxa"/>
          </w:tcPr>
          <w:p w14:paraId="1D0819D3">
            <w:pPr>
              <w:pStyle w:val="4"/>
              <w:jc w:val="left"/>
              <w:rPr>
                <w:highlight w:val="none"/>
              </w:rPr>
            </w:pPr>
            <w:r>
              <w:rPr>
                <w:rFonts w:ascii="仿宋_GB2312" w:hAnsi="仿宋_GB2312" w:eastAsia="仿宋_GB2312" w:cs="仿宋_GB2312"/>
                <w:highlight w:val="none"/>
              </w:rPr>
              <w:t>交货地点</w:t>
            </w:r>
          </w:p>
        </w:tc>
        <w:tc>
          <w:tcPr>
            <w:tcW w:w="5093" w:type="dxa"/>
          </w:tcPr>
          <w:p w14:paraId="0A9A65FD">
            <w:pPr>
              <w:pStyle w:val="4"/>
              <w:jc w:val="left"/>
              <w:rPr>
                <w:highlight w:val="none"/>
              </w:rPr>
            </w:pPr>
            <w:r>
              <w:rPr>
                <w:rFonts w:ascii="仿宋_GB2312" w:hAnsi="仿宋_GB2312" w:eastAsia="仿宋_GB2312" w:cs="仿宋_GB2312"/>
                <w:highlight w:val="none"/>
              </w:rPr>
              <w:t>福建船政交通职业学院（福州市）5个校区：福道园、福船园、福航园、福佑园和长安校区。</w:t>
            </w:r>
          </w:p>
        </w:tc>
      </w:tr>
      <w:tr w14:paraId="3A13A7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36" w:type="dxa"/>
          </w:tcPr>
          <w:p w14:paraId="4DFEF392">
            <w:pPr>
              <w:pStyle w:val="4"/>
              <w:jc w:val="left"/>
              <w:rPr>
                <w:highlight w:val="none"/>
              </w:rPr>
            </w:pPr>
            <w:r>
              <w:rPr>
                <w:rFonts w:ascii="仿宋_GB2312" w:hAnsi="仿宋_GB2312" w:eastAsia="仿宋_GB2312" w:cs="仿宋_GB2312"/>
                <w:highlight w:val="none"/>
              </w:rPr>
              <w:t>3</w:t>
            </w:r>
          </w:p>
        </w:tc>
        <w:tc>
          <w:tcPr>
            <w:tcW w:w="1013" w:type="dxa"/>
          </w:tcPr>
          <w:p w14:paraId="11286860">
            <w:pPr>
              <w:rPr>
                <w:highlight w:val="none"/>
              </w:rPr>
            </w:pPr>
          </w:p>
        </w:tc>
        <w:tc>
          <w:tcPr>
            <w:tcW w:w="1462" w:type="dxa"/>
          </w:tcPr>
          <w:p w14:paraId="3DB479AF">
            <w:pPr>
              <w:pStyle w:val="4"/>
              <w:jc w:val="left"/>
              <w:rPr>
                <w:highlight w:val="none"/>
              </w:rPr>
            </w:pPr>
            <w:r>
              <w:rPr>
                <w:rFonts w:ascii="仿宋_GB2312" w:hAnsi="仿宋_GB2312" w:eastAsia="仿宋_GB2312" w:cs="仿宋_GB2312"/>
                <w:highlight w:val="none"/>
              </w:rPr>
              <w:t>交货条件</w:t>
            </w:r>
          </w:p>
        </w:tc>
        <w:tc>
          <w:tcPr>
            <w:tcW w:w="5093" w:type="dxa"/>
          </w:tcPr>
          <w:p w14:paraId="56841A3A">
            <w:pPr>
              <w:pStyle w:val="4"/>
              <w:jc w:val="left"/>
              <w:rPr>
                <w:highlight w:val="none"/>
              </w:rPr>
            </w:pPr>
            <w:r>
              <w:rPr>
                <w:rFonts w:ascii="仿宋_GB2312" w:hAnsi="仿宋_GB2312" w:eastAsia="仿宋_GB2312" w:cs="仿宋_GB2312"/>
                <w:highlight w:val="none"/>
              </w:rPr>
              <w:t>符合招标文件和合同文件的服务要求。</w:t>
            </w:r>
          </w:p>
        </w:tc>
      </w:tr>
      <w:tr w14:paraId="7FF451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36" w:type="dxa"/>
          </w:tcPr>
          <w:p w14:paraId="33E2D043">
            <w:pPr>
              <w:pStyle w:val="4"/>
              <w:jc w:val="left"/>
              <w:rPr>
                <w:highlight w:val="none"/>
              </w:rPr>
            </w:pPr>
            <w:r>
              <w:rPr>
                <w:rFonts w:ascii="仿宋_GB2312" w:hAnsi="仿宋_GB2312" w:eastAsia="仿宋_GB2312" w:cs="仿宋_GB2312"/>
                <w:highlight w:val="none"/>
              </w:rPr>
              <w:t>4</w:t>
            </w:r>
          </w:p>
        </w:tc>
        <w:tc>
          <w:tcPr>
            <w:tcW w:w="1013" w:type="dxa"/>
          </w:tcPr>
          <w:p w14:paraId="2B719950">
            <w:pPr>
              <w:rPr>
                <w:highlight w:val="none"/>
              </w:rPr>
            </w:pPr>
          </w:p>
        </w:tc>
        <w:tc>
          <w:tcPr>
            <w:tcW w:w="1462" w:type="dxa"/>
          </w:tcPr>
          <w:p w14:paraId="0A432C1D">
            <w:pPr>
              <w:pStyle w:val="4"/>
              <w:jc w:val="left"/>
              <w:rPr>
                <w:highlight w:val="none"/>
              </w:rPr>
            </w:pPr>
            <w:r>
              <w:rPr>
                <w:rFonts w:ascii="仿宋_GB2312" w:hAnsi="仿宋_GB2312" w:eastAsia="仿宋_GB2312" w:cs="仿宋_GB2312"/>
                <w:highlight w:val="none"/>
              </w:rPr>
              <w:t>是否邀请投标人验收</w:t>
            </w:r>
          </w:p>
        </w:tc>
        <w:tc>
          <w:tcPr>
            <w:tcW w:w="5093" w:type="dxa"/>
          </w:tcPr>
          <w:p w14:paraId="002E3AFF">
            <w:pPr>
              <w:pStyle w:val="4"/>
              <w:jc w:val="left"/>
              <w:rPr>
                <w:highlight w:val="none"/>
              </w:rPr>
            </w:pPr>
            <w:r>
              <w:rPr>
                <w:rFonts w:ascii="仿宋_GB2312" w:hAnsi="仿宋_GB2312" w:eastAsia="仿宋_GB2312" w:cs="仿宋_GB2312"/>
                <w:highlight w:val="none"/>
              </w:rPr>
              <w:t>不邀请投标人验收</w:t>
            </w:r>
          </w:p>
        </w:tc>
      </w:tr>
      <w:tr w14:paraId="75A7CD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36" w:type="dxa"/>
          </w:tcPr>
          <w:p w14:paraId="149EE7AA">
            <w:pPr>
              <w:pStyle w:val="4"/>
              <w:jc w:val="left"/>
              <w:rPr>
                <w:highlight w:val="none"/>
              </w:rPr>
            </w:pPr>
            <w:r>
              <w:rPr>
                <w:rFonts w:ascii="仿宋_GB2312" w:hAnsi="仿宋_GB2312" w:eastAsia="仿宋_GB2312" w:cs="仿宋_GB2312"/>
                <w:highlight w:val="none"/>
              </w:rPr>
              <w:t>5</w:t>
            </w:r>
          </w:p>
        </w:tc>
        <w:tc>
          <w:tcPr>
            <w:tcW w:w="1013" w:type="dxa"/>
          </w:tcPr>
          <w:p w14:paraId="6EB098A1">
            <w:pPr>
              <w:rPr>
                <w:highlight w:val="none"/>
              </w:rPr>
            </w:pPr>
          </w:p>
        </w:tc>
        <w:tc>
          <w:tcPr>
            <w:tcW w:w="1462" w:type="dxa"/>
          </w:tcPr>
          <w:p w14:paraId="5C6C4409">
            <w:pPr>
              <w:pStyle w:val="4"/>
              <w:jc w:val="left"/>
              <w:rPr>
                <w:highlight w:val="none"/>
              </w:rPr>
            </w:pPr>
            <w:r>
              <w:rPr>
                <w:rFonts w:ascii="仿宋_GB2312" w:hAnsi="仿宋_GB2312" w:eastAsia="仿宋_GB2312" w:cs="仿宋_GB2312"/>
                <w:highlight w:val="none"/>
              </w:rPr>
              <w:t>履约验收方式</w:t>
            </w:r>
          </w:p>
        </w:tc>
        <w:tc>
          <w:tcPr>
            <w:tcW w:w="5093" w:type="dxa"/>
          </w:tcPr>
          <w:p w14:paraId="3B351AEB">
            <w:pPr>
              <w:pStyle w:val="4"/>
              <w:jc w:val="left"/>
              <w:rPr>
                <w:highlight w:val="none"/>
              </w:rPr>
            </w:pPr>
            <w:r>
              <w:rPr>
                <w:rFonts w:ascii="仿宋_GB2312" w:hAnsi="仿宋_GB2312" w:eastAsia="仿宋_GB2312" w:cs="仿宋_GB2312"/>
                <w:highlight w:val="none"/>
              </w:rPr>
              <w:t>1、期次1，说明：按招标文件及合同约定的服务要求分月执行验收。</w:t>
            </w:r>
          </w:p>
        </w:tc>
      </w:tr>
      <w:tr w14:paraId="4A1419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36" w:type="dxa"/>
          </w:tcPr>
          <w:p w14:paraId="66F3A97C">
            <w:pPr>
              <w:pStyle w:val="4"/>
              <w:jc w:val="left"/>
              <w:rPr>
                <w:highlight w:val="none"/>
              </w:rPr>
            </w:pPr>
            <w:r>
              <w:rPr>
                <w:rFonts w:ascii="仿宋_GB2312" w:hAnsi="仿宋_GB2312" w:eastAsia="仿宋_GB2312" w:cs="仿宋_GB2312"/>
                <w:highlight w:val="none"/>
              </w:rPr>
              <w:t>6</w:t>
            </w:r>
          </w:p>
        </w:tc>
        <w:tc>
          <w:tcPr>
            <w:tcW w:w="1013" w:type="dxa"/>
          </w:tcPr>
          <w:p w14:paraId="35B484B8">
            <w:pPr>
              <w:rPr>
                <w:highlight w:val="none"/>
              </w:rPr>
            </w:pPr>
          </w:p>
        </w:tc>
        <w:tc>
          <w:tcPr>
            <w:tcW w:w="1462" w:type="dxa"/>
          </w:tcPr>
          <w:p w14:paraId="5BE509E1">
            <w:pPr>
              <w:pStyle w:val="4"/>
              <w:jc w:val="left"/>
              <w:rPr>
                <w:highlight w:val="none"/>
              </w:rPr>
            </w:pPr>
            <w:r>
              <w:rPr>
                <w:rFonts w:ascii="仿宋_GB2312" w:hAnsi="仿宋_GB2312" w:eastAsia="仿宋_GB2312" w:cs="仿宋_GB2312"/>
                <w:highlight w:val="none"/>
              </w:rPr>
              <w:t>合同支付方式</w:t>
            </w:r>
          </w:p>
        </w:tc>
        <w:tc>
          <w:tcPr>
            <w:tcW w:w="5093" w:type="dxa"/>
          </w:tcPr>
          <w:p w14:paraId="3F2CCE9C">
            <w:pPr>
              <w:pStyle w:val="4"/>
              <w:jc w:val="left"/>
              <w:rPr>
                <w:highlight w:val="none"/>
              </w:rPr>
            </w:pPr>
            <w:r>
              <w:rPr>
                <w:rFonts w:ascii="仿宋_GB2312" w:hAnsi="仿宋_GB2312" w:eastAsia="仿宋_GB2312" w:cs="仿宋_GB2312"/>
                <w:highlight w:val="none"/>
              </w:rPr>
              <w:t>1、详见序号8其他，达到付款条件起14日内，支付合同总金额的100.00%</w:t>
            </w:r>
          </w:p>
        </w:tc>
      </w:tr>
      <w:tr w14:paraId="7C8D17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36" w:type="dxa"/>
          </w:tcPr>
          <w:p w14:paraId="12D56876">
            <w:pPr>
              <w:pStyle w:val="4"/>
              <w:jc w:val="left"/>
              <w:rPr>
                <w:highlight w:val="none"/>
              </w:rPr>
            </w:pPr>
            <w:r>
              <w:rPr>
                <w:rFonts w:ascii="仿宋_GB2312" w:hAnsi="仿宋_GB2312" w:eastAsia="仿宋_GB2312" w:cs="仿宋_GB2312"/>
                <w:highlight w:val="none"/>
              </w:rPr>
              <w:t>7</w:t>
            </w:r>
          </w:p>
        </w:tc>
        <w:tc>
          <w:tcPr>
            <w:tcW w:w="1013" w:type="dxa"/>
          </w:tcPr>
          <w:p w14:paraId="033AD083">
            <w:pPr>
              <w:rPr>
                <w:highlight w:val="none"/>
              </w:rPr>
            </w:pPr>
          </w:p>
        </w:tc>
        <w:tc>
          <w:tcPr>
            <w:tcW w:w="1462" w:type="dxa"/>
          </w:tcPr>
          <w:p w14:paraId="5D82F18E">
            <w:pPr>
              <w:pStyle w:val="4"/>
              <w:jc w:val="left"/>
              <w:rPr>
                <w:highlight w:val="none"/>
              </w:rPr>
            </w:pPr>
            <w:r>
              <w:rPr>
                <w:rFonts w:ascii="仿宋_GB2312" w:hAnsi="仿宋_GB2312" w:eastAsia="仿宋_GB2312" w:cs="仿宋_GB2312"/>
                <w:highlight w:val="none"/>
              </w:rPr>
              <w:t>履约保证金</w:t>
            </w:r>
          </w:p>
        </w:tc>
        <w:tc>
          <w:tcPr>
            <w:tcW w:w="5093" w:type="dxa"/>
          </w:tcPr>
          <w:p w14:paraId="54FE2CDE">
            <w:pPr>
              <w:pStyle w:val="4"/>
              <w:jc w:val="left"/>
              <w:rPr>
                <w:highlight w:val="none"/>
              </w:rPr>
            </w:pPr>
            <w:r>
              <w:rPr>
                <w:rFonts w:ascii="仿宋_GB2312" w:hAnsi="仿宋_GB2312" w:eastAsia="仿宋_GB2312" w:cs="仿宋_GB2312"/>
                <w:highlight w:val="none"/>
              </w:rPr>
              <w:t>缴纳, 本采购包履约保证金为合同金额的5%</w:t>
            </w:r>
          </w:p>
          <w:p w14:paraId="7CC11040">
            <w:pPr>
              <w:pStyle w:val="4"/>
              <w:jc w:val="left"/>
              <w:rPr>
                <w:highlight w:val="none"/>
              </w:rPr>
            </w:pPr>
            <w:r>
              <w:rPr>
                <w:rFonts w:ascii="仿宋_GB2312" w:hAnsi="仿宋_GB2312" w:eastAsia="仿宋_GB2312" w:cs="仿宋_GB2312"/>
                <w:highlight w:val="none"/>
              </w:rPr>
              <w:t>缴纳方式：银行转账，支票/汇票/本票，保函/保险</w:t>
            </w:r>
          </w:p>
          <w:p w14:paraId="0C74272D">
            <w:pPr>
              <w:pStyle w:val="4"/>
              <w:jc w:val="left"/>
              <w:rPr>
                <w:highlight w:val="none"/>
              </w:rPr>
            </w:pPr>
            <w:r>
              <w:rPr>
                <w:rFonts w:ascii="仿宋_GB2312" w:hAnsi="仿宋_GB2312" w:eastAsia="仿宋_GB2312" w:cs="仿宋_GB2312"/>
                <w:highlight w:val="none"/>
              </w:rPr>
              <w:t>说明：中标人在合同签订时，向采购人以银行转账或电子保函的形式缴纳合同总金额的5%作为履约保证金[本采购包为非专门面向中小企业的政府采购项目，若本项目中标人为中小微企业，缴纳履约保证金的金额为中标金额的3%]。中标人若以电子保函形式提交履约保证金的，要求保函期限覆盖本项目合同期限。中标人若以其他方式提交履约保证金的，该履约保证金在项目最终验收合格之日起至合同期满后，待中标人完整履行合同，无服务质量、无违约问题，且将服务期内档案资料等完整移交采购人，采购人予以无息退还履约保证金；若投标人中标后存在违约行为，则采购人有权根据约定直接扣除违约金后将剩余履约保证金无息退还给中标的投标人或依照约定不予退还履约保证金</w:t>
            </w:r>
          </w:p>
        </w:tc>
      </w:tr>
      <w:tr w14:paraId="17F5F4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36" w:type="dxa"/>
          </w:tcPr>
          <w:p w14:paraId="488ED551">
            <w:pPr>
              <w:pStyle w:val="4"/>
              <w:jc w:val="left"/>
              <w:rPr>
                <w:highlight w:val="none"/>
              </w:rPr>
            </w:pPr>
            <w:r>
              <w:rPr>
                <w:rFonts w:ascii="仿宋_GB2312" w:hAnsi="仿宋_GB2312" w:eastAsia="仿宋_GB2312" w:cs="仿宋_GB2312"/>
                <w:highlight w:val="none"/>
              </w:rPr>
              <w:t>8</w:t>
            </w:r>
          </w:p>
        </w:tc>
        <w:tc>
          <w:tcPr>
            <w:tcW w:w="1013" w:type="dxa"/>
          </w:tcPr>
          <w:p w14:paraId="62FE28B2">
            <w:pPr>
              <w:rPr>
                <w:highlight w:val="none"/>
              </w:rPr>
            </w:pPr>
          </w:p>
        </w:tc>
        <w:tc>
          <w:tcPr>
            <w:tcW w:w="1462" w:type="dxa"/>
          </w:tcPr>
          <w:p w14:paraId="084D117D">
            <w:pPr>
              <w:pStyle w:val="4"/>
              <w:jc w:val="left"/>
              <w:rPr>
                <w:highlight w:val="none"/>
              </w:rPr>
            </w:pPr>
            <w:r>
              <w:rPr>
                <w:rFonts w:ascii="仿宋_GB2312" w:hAnsi="仿宋_GB2312" w:eastAsia="仿宋_GB2312" w:cs="仿宋_GB2312"/>
                <w:highlight w:val="none"/>
              </w:rPr>
              <w:t>其他</w:t>
            </w:r>
          </w:p>
        </w:tc>
        <w:tc>
          <w:tcPr>
            <w:tcW w:w="5093" w:type="dxa"/>
          </w:tcPr>
          <w:p w14:paraId="1AB4FC16">
            <w:pPr>
              <w:pStyle w:val="4"/>
              <w:jc w:val="left"/>
              <w:rPr>
                <w:highlight w:val="none"/>
              </w:rPr>
            </w:pPr>
            <w:r>
              <w:rPr>
                <w:rFonts w:ascii="仿宋_GB2312" w:hAnsi="仿宋_GB2312" w:eastAsia="仿宋_GB2312" w:cs="仿宋_GB2312"/>
                <w:highlight w:val="none"/>
              </w:rPr>
              <w:t>（因系统原因，“合同支付方式”一栏无法按实填写。故本项目支付方式以本条款规定为准。）服务费结算方式：采用“先作业后付款”的方式，根据对中标人的月考核结果情况按月支付物业费。 每月服务费由采购人按月支付给中标人，具体支付根据考评情况而定，采购人在达到付款条件起14日内以转账方式按月结算支付前一个月物业费。</w:t>
            </w:r>
          </w:p>
        </w:tc>
      </w:tr>
    </w:tbl>
    <w:p w14:paraId="3D19519D">
      <w:pPr>
        <w:pStyle w:val="4"/>
        <w:jc w:val="left"/>
        <w:rPr>
          <w:highlight w:val="none"/>
        </w:rPr>
      </w:pPr>
      <w:r>
        <w:rPr>
          <w:rFonts w:ascii="仿宋_GB2312" w:hAnsi="仿宋_GB2312" w:eastAsia="仿宋_GB2312" w:cs="仿宋_GB2312"/>
          <w:highlight w:val="none"/>
        </w:rPr>
        <w:t>其他商务要求</w:t>
      </w:r>
    </w:p>
    <w:p w14:paraId="3A292F16">
      <w:pPr>
        <w:pStyle w:val="4"/>
        <w:ind w:firstLine="480"/>
        <w:jc w:val="left"/>
        <w:rPr>
          <w:highlight w:val="none"/>
        </w:rPr>
      </w:pPr>
      <w:r>
        <w:rPr>
          <w:rFonts w:ascii="仿宋_GB2312" w:hAnsi="仿宋_GB2312" w:eastAsia="仿宋_GB2312" w:cs="仿宋_GB2312"/>
          <w:b/>
          <w:color w:val="000000"/>
          <w:sz w:val="24"/>
          <w:highlight w:val="none"/>
        </w:rPr>
        <w:t>1.结算方式及要求</w:t>
      </w:r>
    </w:p>
    <w:p w14:paraId="5376BCCF">
      <w:pPr>
        <w:pStyle w:val="4"/>
        <w:ind w:firstLine="480"/>
        <w:jc w:val="left"/>
        <w:rPr>
          <w:highlight w:val="none"/>
        </w:rPr>
      </w:pPr>
      <w:r>
        <w:rPr>
          <w:rFonts w:ascii="仿宋_GB2312" w:hAnsi="仿宋_GB2312" w:eastAsia="仿宋_GB2312" w:cs="仿宋_GB2312"/>
          <w:color w:val="000000"/>
          <w:sz w:val="24"/>
          <w:highlight w:val="none"/>
        </w:rPr>
        <w:t>1.1每月结算。每月物业费=中标价/12-罚没款项。</w:t>
      </w:r>
    </w:p>
    <w:p w14:paraId="664F3965">
      <w:pPr>
        <w:pStyle w:val="4"/>
        <w:ind w:firstLine="480"/>
        <w:jc w:val="left"/>
        <w:rPr>
          <w:highlight w:val="none"/>
        </w:rPr>
      </w:pPr>
      <w:r>
        <w:rPr>
          <w:rFonts w:ascii="仿宋_GB2312" w:hAnsi="仿宋_GB2312" w:eastAsia="仿宋_GB2312" w:cs="仿宋_GB2312"/>
          <w:color w:val="000000"/>
          <w:sz w:val="24"/>
          <w:highlight w:val="none"/>
        </w:rPr>
        <w:t>1.2结算要求</w:t>
      </w:r>
    </w:p>
    <w:p w14:paraId="1BE64C62">
      <w:pPr>
        <w:pStyle w:val="4"/>
        <w:ind w:firstLine="480"/>
        <w:jc w:val="left"/>
        <w:rPr>
          <w:highlight w:val="none"/>
        </w:rPr>
      </w:pPr>
      <w:r>
        <w:rPr>
          <w:rFonts w:ascii="仿宋_GB2312" w:hAnsi="仿宋_GB2312" w:eastAsia="仿宋_GB2312" w:cs="仿宋_GB2312"/>
          <w:color w:val="000000"/>
          <w:sz w:val="24"/>
          <w:highlight w:val="none"/>
        </w:rPr>
        <w:t>1.2.1根据每月考核情况，按照不同等级进行付款。在考核完成后，采购人结算前一月物业服务费用。</w:t>
      </w:r>
    </w:p>
    <w:p w14:paraId="3C43646C">
      <w:pPr>
        <w:pStyle w:val="4"/>
        <w:ind w:firstLine="480"/>
        <w:jc w:val="left"/>
        <w:rPr>
          <w:highlight w:val="none"/>
        </w:rPr>
      </w:pPr>
      <w:r>
        <w:rPr>
          <w:rFonts w:ascii="仿宋_GB2312" w:hAnsi="仿宋_GB2312" w:eastAsia="仿宋_GB2312" w:cs="仿宋_GB2312"/>
          <w:color w:val="000000"/>
          <w:sz w:val="24"/>
          <w:highlight w:val="none"/>
        </w:rPr>
        <w:t>1.2.2结算费用要求：</w:t>
      </w:r>
    </w:p>
    <w:p w14:paraId="114E91E9">
      <w:pPr>
        <w:pStyle w:val="4"/>
        <w:ind w:firstLine="480"/>
        <w:jc w:val="left"/>
        <w:rPr>
          <w:highlight w:val="none"/>
        </w:rPr>
      </w:pPr>
      <w:r>
        <w:rPr>
          <w:rFonts w:ascii="仿宋_GB2312" w:hAnsi="仿宋_GB2312" w:eastAsia="仿宋_GB2312" w:cs="仿宋_GB2312"/>
          <w:color w:val="000000"/>
          <w:sz w:val="24"/>
          <w:highlight w:val="none"/>
        </w:rPr>
        <w:t>（1）考核得分≥85分，月结算价等于当月物业费（已扣除罚没款项）的100%；</w:t>
      </w:r>
    </w:p>
    <w:p w14:paraId="47990BC7">
      <w:pPr>
        <w:pStyle w:val="4"/>
        <w:ind w:firstLine="480"/>
        <w:jc w:val="left"/>
        <w:rPr>
          <w:highlight w:val="none"/>
        </w:rPr>
      </w:pPr>
      <w:r>
        <w:rPr>
          <w:rFonts w:ascii="仿宋_GB2312" w:hAnsi="仿宋_GB2312" w:eastAsia="仿宋_GB2312" w:cs="仿宋_GB2312"/>
          <w:color w:val="000000"/>
          <w:sz w:val="24"/>
          <w:highlight w:val="none"/>
        </w:rPr>
        <w:t>（2）75分≤考核得分＜85分的，月结算价等于当月物业费（已扣除罚没款项）的95%；</w:t>
      </w:r>
    </w:p>
    <w:p w14:paraId="569CCD35">
      <w:pPr>
        <w:pStyle w:val="4"/>
        <w:ind w:firstLine="480"/>
        <w:jc w:val="left"/>
        <w:rPr>
          <w:highlight w:val="none"/>
        </w:rPr>
      </w:pPr>
      <w:r>
        <w:rPr>
          <w:rFonts w:ascii="仿宋_GB2312" w:hAnsi="仿宋_GB2312" w:eastAsia="仿宋_GB2312" w:cs="仿宋_GB2312"/>
          <w:color w:val="000000"/>
          <w:sz w:val="24"/>
          <w:highlight w:val="none"/>
        </w:rPr>
        <w:t>（3）65分≤考核得分＜75分的，月结算价等于当月物业费（已扣除罚没款项）的90%；</w:t>
      </w:r>
    </w:p>
    <w:p w14:paraId="3EB840C0">
      <w:pPr>
        <w:pStyle w:val="4"/>
        <w:ind w:firstLine="480"/>
        <w:jc w:val="left"/>
        <w:rPr>
          <w:highlight w:val="none"/>
        </w:rPr>
      </w:pPr>
      <w:r>
        <w:rPr>
          <w:rFonts w:ascii="仿宋_GB2312" w:hAnsi="仿宋_GB2312" w:eastAsia="仿宋_GB2312" w:cs="仿宋_GB2312"/>
          <w:color w:val="000000"/>
          <w:sz w:val="24"/>
          <w:highlight w:val="none"/>
        </w:rPr>
        <w:t>（4）55分≤考核得分＜65分的，月结算价等于当月物业费（已扣除罚没款项）的70%；</w:t>
      </w:r>
    </w:p>
    <w:p w14:paraId="10BAF3D3">
      <w:pPr>
        <w:pStyle w:val="4"/>
        <w:ind w:firstLine="480"/>
        <w:jc w:val="left"/>
        <w:rPr>
          <w:highlight w:val="none"/>
        </w:rPr>
      </w:pPr>
      <w:r>
        <w:rPr>
          <w:rFonts w:ascii="仿宋_GB2312" w:hAnsi="仿宋_GB2312" w:eastAsia="仿宋_GB2312" w:cs="仿宋_GB2312"/>
          <w:color w:val="000000"/>
          <w:sz w:val="24"/>
          <w:highlight w:val="none"/>
        </w:rPr>
        <w:t>（5）考核得分＜55分的，月结算价等于当月物业费（已扣除罚没款项）的30%。</w:t>
      </w:r>
    </w:p>
    <w:p w14:paraId="5ACA11B4">
      <w:pPr>
        <w:pStyle w:val="4"/>
        <w:ind w:firstLine="480"/>
        <w:jc w:val="left"/>
        <w:rPr>
          <w:highlight w:val="none"/>
        </w:rPr>
      </w:pPr>
      <w:r>
        <w:rPr>
          <w:rFonts w:ascii="仿宋_GB2312" w:hAnsi="仿宋_GB2312" w:eastAsia="仿宋_GB2312" w:cs="仿宋_GB2312"/>
          <w:color w:val="000000"/>
          <w:sz w:val="24"/>
          <w:highlight w:val="none"/>
        </w:rPr>
        <w:t>2.2.3中标人第一个月的物业服务费用作为考核保证金，根据考核情况处罚后于次月核付中标人，经费采用“先服务后付费”的方式。</w:t>
      </w:r>
    </w:p>
    <w:p w14:paraId="3DB9A372">
      <w:pPr>
        <w:pStyle w:val="4"/>
        <w:ind w:firstLine="482"/>
        <w:jc w:val="left"/>
        <w:rPr>
          <w:highlight w:val="none"/>
        </w:rPr>
      </w:pPr>
      <w:r>
        <w:rPr>
          <w:rFonts w:ascii="仿宋_GB2312" w:hAnsi="仿宋_GB2312" w:eastAsia="仿宋_GB2312" w:cs="仿宋_GB2312"/>
          <w:b/>
          <w:color w:val="000000"/>
          <w:sz w:val="24"/>
          <w:highlight w:val="none"/>
        </w:rPr>
        <w:t>2.验收要求</w:t>
      </w:r>
    </w:p>
    <w:p w14:paraId="13BB78AB">
      <w:pPr>
        <w:pStyle w:val="4"/>
        <w:ind w:firstLine="480"/>
        <w:jc w:val="left"/>
        <w:rPr>
          <w:highlight w:val="none"/>
        </w:rPr>
      </w:pPr>
      <w:r>
        <w:rPr>
          <w:rFonts w:ascii="仿宋_GB2312" w:hAnsi="仿宋_GB2312" w:eastAsia="仿宋_GB2312" w:cs="仿宋_GB2312"/>
          <w:color w:val="000000"/>
          <w:sz w:val="24"/>
          <w:highlight w:val="none"/>
        </w:rPr>
        <w:t>2.1按月考核。</w:t>
      </w:r>
    </w:p>
    <w:p w14:paraId="5C0035D7">
      <w:pPr>
        <w:pStyle w:val="4"/>
        <w:ind w:firstLine="480"/>
        <w:rPr>
          <w:highlight w:val="none"/>
        </w:rPr>
      </w:pPr>
      <w:r>
        <w:rPr>
          <w:rFonts w:ascii="仿宋_GB2312" w:hAnsi="仿宋_GB2312" w:eastAsia="仿宋_GB2312" w:cs="仿宋_GB2312"/>
          <w:color w:val="000000"/>
          <w:sz w:val="24"/>
          <w:highlight w:val="none"/>
        </w:rPr>
        <w:t>2.2中标人完成当月物业服务工作后，采购人于次月对中标人进行一次考核。月考核实行评分制，根据中标人月度工作总结，结合日常检(抽)查情况，采购人依照服务标准和评分标准进行评分。</w:t>
      </w:r>
    </w:p>
    <w:p w14:paraId="00476EB9">
      <w:pPr>
        <w:pStyle w:val="4"/>
        <w:ind w:firstLine="480"/>
        <w:rPr>
          <w:highlight w:val="none"/>
        </w:rPr>
      </w:pPr>
      <w:r>
        <w:rPr>
          <w:rFonts w:ascii="仿宋_GB2312" w:hAnsi="仿宋_GB2312" w:eastAsia="仿宋_GB2312" w:cs="仿宋_GB2312"/>
          <w:color w:val="000000"/>
          <w:sz w:val="24"/>
          <w:highlight w:val="none"/>
        </w:rPr>
        <w:t>2.3考核要求</w:t>
      </w:r>
    </w:p>
    <w:p w14:paraId="3BF66C3C">
      <w:pPr>
        <w:pStyle w:val="4"/>
        <w:ind w:firstLine="480"/>
        <w:rPr>
          <w:highlight w:val="none"/>
        </w:rPr>
      </w:pPr>
      <w:r>
        <w:rPr>
          <w:rFonts w:ascii="仿宋_GB2312" w:hAnsi="仿宋_GB2312" w:eastAsia="仿宋_GB2312" w:cs="仿宋_GB2312"/>
          <w:color w:val="000000"/>
          <w:sz w:val="24"/>
          <w:highlight w:val="none"/>
        </w:rPr>
        <w:t>2.3.1 55分≤考核得分＜65分的，本等级考核得分年度内累计达三次的，视为中标人拒绝整改，采购人有权解除合同。</w:t>
      </w:r>
      <w:r>
        <w:rPr>
          <w:rFonts w:ascii="仿宋_GB2312" w:hAnsi="仿宋_GB2312" w:eastAsia="仿宋_GB2312" w:cs="仿宋_GB2312"/>
          <w:highlight w:val="none"/>
        </w:rPr>
        <w:t xml:space="preserve"> </w:t>
      </w:r>
    </w:p>
    <w:p w14:paraId="6A4DD9A9">
      <w:pPr>
        <w:pStyle w:val="4"/>
        <w:ind w:firstLine="480"/>
        <w:rPr>
          <w:highlight w:val="none"/>
        </w:rPr>
      </w:pPr>
      <w:r>
        <w:rPr>
          <w:rFonts w:ascii="仿宋_GB2312" w:hAnsi="仿宋_GB2312" w:eastAsia="仿宋_GB2312" w:cs="仿宋_GB2312"/>
          <w:color w:val="000000"/>
          <w:sz w:val="24"/>
          <w:highlight w:val="none"/>
        </w:rPr>
        <w:t>2.3.2考核得分＜55分的，采购人有权解除合同。</w:t>
      </w:r>
    </w:p>
    <w:tbl>
      <w:tblPr>
        <w:tblStyle w:val="2"/>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584"/>
        <w:gridCol w:w="930"/>
        <w:gridCol w:w="3597"/>
        <w:gridCol w:w="1915"/>
        <w:gridCol w:w="716"/>
        <w:gridCol w:w="555"/>
      </w:tblGrid>
      <w:tr w14:paraId="4E9AF12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84"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7E432FBC">
            <w:pPr>
              <w:pStyle w:val="4"/>
              <w:jc w:val="center"/>
              <w:rPr>
                <w:highlight w:val="none"/>
              </w:rPr>
            </w:pPr>
            <w:r>
              <w:rPr>
                <w:rFonts w:ascii="仿宋_GB2312" w:hAnsi="仿宋_GB2312" w:eastAsia="仿宋_GB2312" w:cs="仿宋_GB2312"/>
                <w:color w:val="000000"/>
                <w:sz w:val="24"/>
                <w:highlight w:val="none"/>
              </w:rPr>
              <w:t>序号</w:t>
            </w:r>
          </w:p>
        </w:tc>
        <w:tc>
          <w:tcPr>
            <w:tcW w:w="906"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131FC2DF">
            <w:pPr>
              <w:pStyle w:val="4"/>
              <w:jc w:val="center"/>
              <w:rPr>
                <w:highlight w:val="none"/>
              </w:rPr>
            </w:pPr>
            <w:r>
              <w:rPr>
                <w:rFonts w:ascii="仿宋_GB2312" w:hAnsi="仿宋_GB2312" w:eastAsia="仿宋_GB2312" w:cs="仿宋_GB2312"/>
                <w:color w:val="000000"/>
                <w:sz w:val="24"/>
                <w:highlight w:val="none"/>
              </w:rPr>
              <w:t>考核项目</w:t>
            </w:r>
          </w:p>
        </w:tc>
        <w:tc>
          <w:tcPr>
            <w:tcW w:w="3597"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27672719">
            <w:pPr>
              <w:pStyle w:val="4"/>
              <w:jc w:val="center"/>
              <w:rPr>
                <w:highlight w:val="none"/>
              </w:rPr>
            </w:pPr>
            <w:r>
              <w:rPr>
                <w:rFonts w:ascii="仿宋_GB2312" w:hAnsi="仿宋_GB2312" w:eastAsia="仿宋_GB2312" w:cs="仿宋_GB2312"/>
                <w:color w:val="000000"/>
                <w:sz w:val="24"/>
                <w:highlight w:val="none"/>
              </w:rPr>
              <w:t>考核内容</w:t>
            </w:r>
          </w:p>
        </w:tc>
        <w:tc>
          <w:tcPr>
            <w:tcW w:w="1915"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67BBCD2B">
            <w:pPr>
              <w:pStyle w:val="4"/>
              <w:jc w:val="center"/>
              <w:rPr>
                <w:highlight w:val="none"/>
              </w:rPr>
            </w:pPr>
            <w:r>
              <w:rPr>
                <w:rFonts w:ascii="仿宋_GB2312" w:hAnsi="仿宋_GB2312" w:eastAsia="仿宋_GB2312" w:cs="仿宋_GB2312"/>
                <w:color w:val="000000"/>
                <w:sz w:val="24"/>
                <w:highlight w:val="none"/>
              </w:rPr>
              <w:t>判定</w:t>
            </w:r>
          </w:p>
        </w:tc>
        <w:tc>
          <w:tcPr>
            <w:tcW w:w="716"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6D7AA7E6">
            <w:pPr>
              <w:pStyle w:val="4"/>
              <w:jc w:val="center"/>
              <w:rPr>
                <w:highlight w:val="none"/>
              </w:rPr>
            </w:pPr>
            <w:r>
              <w:rPr>
                <w:rFonts w:ascii="仿宋_GB2312" w:hAnsi="仿宋_GB2312" w:eastAsia="仿宋_GB2312" w:cs="仿宋_GB2312"/>
                <w:color w:val="000000"/>
                <w:sz w:val="24"/>
                <w:highlight w:val="none"/>
              </w:rPr>
              <w:t>分值</w:t>
            </w:r>
          </w:p>
        </w:tc>
        <w:tc>
          <w:tcPr>
            <w:tcW w:w="555"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08D0FCC2">
            <w:pPr>
              <w:pStyle w:val="4"/>
              <w:jc w:val="center"/>
              <w:rPr>
                <w:highlight w:val="none"/>
              </w:rPr>
            </w:pPr>
            <w:r>
              <w:rPr>
                <w:rFonts w:ascii="仿宋_GB2312" w:hAnsi="仿宋_GB2312" w:eastAsia="仿宋_GB2312" w:cs="仿宋_GB2312"/>
                <w:color w:val="000000"/>
                <w:sz w:val="24"/>
                <w:highlight w:val="none"/>
              </w:rPr>
              <w:t>得分</w:t>
            </w:r>
          </w:p>
        </w:tc>
      </w:tr>
      <w:tr w14:paraId="1F2663D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8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9CF9E8F">
            <w:pPr>
              <w:pStyle w:val="4"/>
              <w:jc w:val="center"/>
              <w:rPr>
                <w:highlight w:val="none"/>
              </w:rPr>
            </w:pPr>
            <w:r>
              <w:rPr>
                <w:rFonts w:ascii="仿宋_GB2312" w:hAnsi="仿宋_GB2312" w:eastAsia="仿宋_GB2312" w:cs="仿宋_GB2312"/>
                <w:color w:val="000000"/>
                <w:sz w:val="24"/>
                <w:highlight w:val="none"/>
              </w:rPr>
              <w:t>1</w:t>
            </w:r>
          </w:p>
        </w:tc>
        <w:tc>
          <w:tcPr>
            <w:tcW w:w="906" w:type="dxa"/>
            <w:vMerge w:val="restart"/>
            <w:tcBorders>
              <w:top w:val="nil"/>
              <w:left w:val="nil"/>
              <w:bottom w:val="nil"/>
              <w:right w:val="single" w:color="000000" w:sz="4" w:space="0"/>
            </w:tcBorders>
            <w:tcMar>
              <w:top w:w="0" w:type="dxa"/>
              <w:left w:w="105" w:type="dxa"/>
              <w:bottom w:w="0" w:type="dxa"/>
              <w:right w:w="105" w:type="dxa"/>
            </w:tcMar>
            <w:vAlign w:val="top"/>
          </w:tcPr>
          <w:p w14:paraId="67C722AD">
            <w:pPr>
              <w:pStyle w:val="4"/>
              <w:jc w:val="both"/>
              <w:rPr>
                <w:highlight w:val="none"/>
              </w:rPr>
            </w:pPr>
            <w:r>
              <w:rPr>
                <w:rFonts w:ascii="仿宋_GB2312" w:hAnsi="仿宋_GB2312" w:eastAsia="仿宋_GB2312" w:cs="仿宋_GB2312"/>
                <w:color w:val="000000"/>
                <w:sz w:val="24"/>
                <w:highlight w:val="none"/>
              </w:rPr>
              <w:t>综合服务（24）</w:t>
            </w:r>
          </w:p>
        </w:tc>
        <w:tc>
          <w:tcPr>
            <w:tcW w:w="3597" w:type="dxa"/>
            <w:tcBorders>
              <w:top w:val="nil"/>
              <w:left w:val="nil"/>
              <w:bottom w:val="single" w:color="000000" w:sz="4" w:space="0"/>
              <w:right w:val="single" w:color="000000" w:sz="4" w:space="0"/>
            </w:tcBorders>
            <w:tcMar>
              <w:top w:w="0" w:type="dxa"/>
              <w:left w:w="105" w:type="dxa"/>
              <w:bottom w:w="0" w:type="dxa"/>
              <w:right w:w="105" w:type="dxa"/>
            </w:tcMar>
            <w:vAlign w:val="top"/>
          </w:tcPr>
          <w:p w14:paraId="436F3752">
            <w:pPr>
              <w:pStyle w:val="4"/>
              <w:jc w:val="center"/>
              <w:rPr>
                <w:highlight w:val="none"/>
              </w:rPr>
            </w:pPr>
            <w:r>
              <w:rPr>
                <w:rFonts w:ascii="仿宋_GB2312" w:hAnsi="仿宋_GB2312" w:eastAsia="仿宋_GB2312" w:cs="仿宋_GB2312"/>
                <w:color w:val="000000"/>
                <w:sz w:val="24"/>
                <w:highlight w:val="none"/>
              </w:rPr>
              <w:t>各项档案资料等内业资料完整。</w:t>
            </w:r>
          </w:p>
        </w:tc>
        <w:tc>
          <w:tcPr>
            <w:tcW w:w="19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5D3CB076">
            <w:pPr>
              <w:pStyle w:val="4"/>
              <w:jc w:val="center"/>
              <w:rPr>
                <w:highlight w:val="none"/>
              </w:rPr>
            </w:pPr>
            <w:r>
              <w:rPr>
                <w:rFonts w:ascii="仿宋_GB2312" w:hAnsi="仿宋_GB2312" w:eastAsia="仿宋_GB2312" w:cs="仿宋_GB2312"/>
                <w:color w:val="000000"/>
                <w:sz w:val="24"/>
                <w:highlight w:val="none"/>
              </w:rPr>
              <w:t>不符合一项扣0.5分，扣完为止。</w:t>
            </w:r>
          </w:p>
        </w:tc>
        <w:tc>
          <w:tcPr>
            <w:tcW w:w="7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1FEB8DBA">
            <w:pPr>
              <w:pStyle w:val="4"/>
              <w:jc w:val="center"/>
              <w:rPr>
                <w:highlight w:val="none"/>
              </w:rPr>
            </w:pPr>
            <w:r>
              <w:rPr>
                <w:rFonts w:ascii="仿宋_GB2312" w:hAnsi="仿宋_GB2312" w:eastAsia="仿宋_GB2312" w:cs="仿宋_GB2312"/>
                <w:color w:val="000000"/>
                <w:sz w:val="24"/>
                <w:highlight w:val="none"/>
              </w:rPr>
              <w:t>4</w:t>
            </w:r>
          </w:p>
        </w:tc>
        <w:tc>
          <w:tcPr>
            <w:tcW w:w="555" w:type="dxa"/>
            <w:tcBorders>
              <w:top w:val="nil"/>
              <w:left w:val="nil"/>
              <w:bottom w:val="single" w:color="000000" w:sz="4" w:space="0"/>
              <w:right w:val="single" w:color="000000" w:sz="4" w:space="0"/>
            </w:tcBorders>
            <w:tcMar>
              <w:top w:w="0" w:type="dxa"/>
              <w:left w:w="105" w:type="dxa"/>
              <w:bottom w:w="0" w:type="dxa"/>
              <w:right w:w="105" w:type="dxa"/>
            </w:tcMar>
            <w:vAlign w:val="top"/>
          </w:tcPr>
          <w:p w14:paraId="14F522E9">
            <w:pPr>
              <w:pStyle w:val="4"/>
              <w:jc w:val="center"/>
              <w:rPr>
                <w:highlight w:val="none"/>
              </w:rPr>
            </w:pPr>
          </w:p>
        </w:tc>
      </w:tr>
      <w:tr w14:paraId="7FAA5C7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8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0B752C19">
            <w:pPr>
              <w:pStyle w:val="4"/>
              <w:jc w:val="center"/>
              <w:rPr>
                <w:highlight w:val="none"/>
              </w:rPr>
            </w:pPr>
            <w:r>
              <w:rPr>
                <w:rFonts w:ascii="仿宋_GB2312" w:hAnsi="仿宋_GB2312" w:eastAsia="仿宋_GB2312" w:cs="仿宋_GB2312"/>
                <w:color w:val="000000"/>
                <w:sz w:val="24"/>
                <w:highlight w:val="none"/>
              </w:rPr>
              <w:t>2</w:t>
            </w:r>
          </w:p>
        </w:tc>
        <w:tc>
          <w:tcPr>
            <w:tcW w:w="906" w:type="dxa"/>
            <w:vMerge w:val="continue"/>
            <w:tcBorders>
              <w:top w:val="nil"/>
              <w:left w:val="nil"/>
              <w:bottom w:val="nil"/>
              <w:right w:val="single" w:color="000000" w:sz="4" w:space="0"/>
            </w:tcBorders>
          </w:tcPr>
          <w:p w14:paraId="76D53522">
            <w:pPr>
              <w:rPr>
                <w:highlight w:val="none"/>
              </w:rPr>
            </w:pPr>
          </w:p>
        </w:tc>
        <w:tc>
          <w:tcPr>
            <w:tcW w:w="3597" w:type="dxa"/>
            <w:tcBorders>
              <w:top w:val="nil"/>
              <w:left w:val="nil"/>
              <w:bottom w:val="single" w:color="000000" w:sz="4" w:space="0"/>
              <w:right w:val="single" w:color="000000" w:sz="4" w:space="0"/>
            </w:tcBorders>
            <w:tcMar>
              <w:top w:w="0" w:type="dxa"/>
              <w:left w:w="105" w:type="dxa"/>
              <w:bottom w:w="0" w:type="dxa"/>
              <w:right w:w="105" w:type="dxa"/>
            </w:tcMar>
            <w:vAlign w:val="top"/>
          </w:tcPr>
          <w:p w14:paraId="3F5DD80C">
            <w:pPr>
              <w:pStyle w:val="4"/>
              <w:jc w:val="center"/>
              <w:rPr>
                <w:highlight w:val="none"/>
              </w:rPr>
            </w:pPr>
            <w:r>
              <w:rPr>
                <w:rFonts w:ascii="仿宋_GB2312" w:hAnsi="仿宋_GB2312" w:eastAsia="仿宋_GB2312" w:cs="仿宋_GB2312"/>
                <w:color w:val="000000"/>
                <w:sz w:val="24"/>
                <w:highlight w:val="none"/>
              </w:rPr>
              <w:t>各类服务人员按时上下班，不离岗、串岗，值班人员在岗在位。</w:t>
            </w:r>
          </w:p>
        </w:tc>
        <w:tc>
          <w:tcPr>
            <w:tcW w:w="19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410EB3D2">
            <w:pPr>
              <w:pStyle w:val="4"/>
              <w:jc w:val="center"/>
              <w:rPr>
                <w:highlight w:val="none"/>
              </w:rPr>
            </w:pPr>
            <w:r>
              <w:rPr>
                <w:rFonts w:ascii="仿宋_GB2312" w:hAnsi="仿宋_GB2312" w:eastAsia="仿宋_GB2312" w:cs="仿宋_GB2312"/>
                <w:color w:val="000000"/>
                <w:sz w:val="24"/>
                <w:highlight w:val="none"/>
              </w:rPr>
              <w:t>不符合一项扣0.5分，扣完为止。</w:t>
            </w:r>
          </w:p>
        </w:tc>
        <w:tc>
          <w:tcPr>
            <w:tcW w:w="7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71BD800B">
            <w:pPr>
              <w:pStyle w:val="4"/>
              <w:jc w:val="center"/>
              <w:rPr>
                <w:highlight w:val="none"/>
              </w:rPr>
            </w:pPr>
            <w:r>
              <w:rPr>
                <w:rFonts w:ascii="仿宋_GB2312" w:hAnsi="仿宋_GB2312" w:eastAsia="仿宋_GB2312" w:cs="仿宋_GB2312"/>
                <w:color w:val="000000"/>
                <w:sz w:val="24"/>
                <w:highlight w:val="none"/>
              </w:rPr>
              <w:t>4</w:t>
            </w:r>
          </w:p>
        </w:tc>
        <w:tc>
          <w:tcPr>
            <w:tcW w:w="555" w:type="dxa"/>
            <w:tcBorders>
              <w:top w:val="nil"/>
              <w:left w:val="nil"/>
              <w:bottom w:val="single" w:color="000000" w:sz="4" w:space="0"/>
              <w:right w:val="single" w:color="000000" w:sz="4" w:space="0"/>
            </w:tcBorders>
            <w:tcMar>
              <w:top w:w="0" w:type="dxa"/>
              <w:left w:w="105" w:type="dxa"/>
              <w:bottom w:w="0" w:type="dxa"/>
              <w:right w:w="105" w:type="dxa"/>
            </w:tcMar>
            <w:vAlign w:val="top"/>
          </w:tcPr>
          <w:p w14:paraId="4420EDB0">
            <w:pPr>
              <w:pStyle w:val="4"/>
              <w:jc w:val="center"/>
              <w:rPr>
                <w:highlight w:val="none"/>
              </w:rPr>
            </w:pPr>
          </w:p>
        </w:tc>
      </w:tr>
      <w:tr w14:paraId="790EAA7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8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2120EA5">
            <w:pPr>
              <w:pStyle w:val="4"/>
              <w:jc w:val="center"/>
              <w:rPr>
                <w:highlight w:val="none"/>
              </w:rPr>
            </w:pPr>
            <w:r>
              <w:rPr>
                <w:rFonts w:ascii="仿宋_GB2312" w:hAnsi="仿宋_GB2312" w:eastAsia="仿宋_GB2312" w:cs="仿宋_GB2312"/>
                <w:color w:val="000000"/>
                <w:sz w:val="24"/>
                <w:highlight w:val="none"/>
              </w:rPr>
              <w:t>3</w:t>
            </w:r>
          </w:p>
        </w:tc>
        <w:tc>
          <w:tcPr>
            <w:tcW w:w="906" w:type="dxa"/>
            <w:vMerge w:val="continue"/>
            <w:tcBorders>
              <w:top w:val="nil"/>
              <w:left w:val="nil"/>
              <w:bottom w:val="nil"/>
              <w:right w:val="single" w:color="000000" w:sz="4" w:space="0"/>
            </w:tcBorders>
          </w:tcPr>
          <w:p w14:paraId="64B81501">
            <w:pPr>
              <w:rPr>
                <w:highlight w:val="none"/>
              </w:rPr>
            </w:pPr>
          </w:p>
        </w:tc>
        <w:tc>
          <w:tcPr>
            <w:tcW w:w="3597" w:type="dxa"/>
            <w:tcBorders>
              <w:top w:val="nil"/>
              <w:left w:val="nil"/>
              <w:bottom w:val="single" w:color="000000" w:sz="4" w:space="0"/>
              <w:right w:val="single" w:color="000000" w:sz="4" w:space="0"/>
            </w:tcBorders>
            <w:tcMar>
              <w:top w:w="0" w:type="dxa"/>
              <w:left w:w="105" w:type="dxa"/>
              <w:bottom w:w="0" w:type="dxa"/>
              <w:right w:w="105" w:type="dxa"/>
            </w:tcMar>
            <w:vAlign w:val="top"/>
          </w:tcPr>
          <w:p w14:paraId="226975A4">
            <w:pPr>
              <w:pStyle w:val="4"/>
              <w:jc w:val="center"/>
              <w:rPr>
                <w:highlight w:val="none"/>
              </w:rPr>
            </w:pPr>
            <w:r>
              <w:rPr>
                <w:rFonts w:ascii="仿宋_GB2312" w:hAnsi="仿宋_GB2312" w:eastAsia="仿宋_GB2312" w:cs="仿宋_GB2312"/>
                <w:color w:val="000000"/>
                <w:sz w:val="24"/>
                <w:highlight w:val="none"/>
              </w:rPr>
              <w:t>服务人员素质、服务态度好，对师生反映问题的处理及时高效。</w:t>
            </w:r>
          </w:p>
        </w:tc>
        <w:tc>
          <w:tcPr>
            <w:tcW w:w="19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7C5BD117">
            <w:pPr>
              <w:pStyle w:val="4"/>
              <w:jc w:val="center"/>
              <w:rPr>
                <w:highlight w:val="none"/>
              </w:rPr>
            </w:pPr>
            <w:r>
              <w:rPr>
                <w:rFonts w:ascii="仿宋_GB2312" w:hAnsi="仿宋_GB2312" w:eastAsia="仿宋_GB2312" w:cs="仿宋_GB2312"/>
                <w:color w:val="000000"/>
                <w:sz w:val="24"/>
                <w:highlight w:val="none"/>
              </w:rPr>
              <w:t>不符合一项扣0.5分，扣完为止。</w:t>
            </w:r>
          </w:p>
        </w:tc>
        <w:tc>
          <w:tcPr>
            <w:tcW w:w="7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2A03FA5B">
            <w:pPr>
              <w:pStyle w:val="4"/>
              <w:jc w:val="center"/>
              <w:rPr>
                <w:highlight w:val="none"/>
              </w:rPr>
            </w:pPr>
            <w:r>
              <w:rPr>
                <w:rFonts w:ascii="仿宋_GB2312" w:hAnsi="仿宋_GB2312" w:eastAsia="仿宋_GB2312" w:cs="仿宋_GB2312"/>
                <w:color w:val="000000"/>
                <w:sz w:val="24"/>
                <w:highlight w:val="none"/>
              </w:rPr>
              <w:t>4</w:t>
            </w:r>
          </w:p>
        </w:tc>
        <w:tc>
          <w:tcPr>
            <w:tcW w:w="555" w:type="dxa"/>
            <w:tcBorders>
              <w:top w:val="nil"/>
              <w:left w:val="nil"/>
              <w:bottom w:val="single" w:color="000000" w:sz="4" w:space="0"/>
              <w:right w:val="single" w:color="000000" w:sz="4" w:space="0"/>
            </w:tcBorders>
            <w:tcMar>
              <w:top w:w="0" w:type="dxa"/>
              <w:left w:w="105" w:type="dxa"/>
              <w:bottom w:w="0" w:type="dxa"/>
              <w:right w:w="105" w:type="dxa"/>
            </w:tcMar>
            <w:vAlign w:val="top"/>
          </w:tcPr>
          <w:p w14:paraId="0FFDAAC0">
            <w:pPr>
              <w:pStyle w:val="4"/>
              <w:jc w:val="center"/>
              <w:rPr>
                <w:highlight w:val="none"/>
              </w:rPr>
            </w:pPr>
          </w:p>
        </w:tc>
      </w:tr>
      <w:tr w14:paraId="573C481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8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797570F">
            <w:pPr>
              <w:pStyle w:val="4"/>
              <w:jc w:val="center"/>
              <w:rPr>
                <w:highlight w:val="none"/>
              </w:rPr>
            </w:pPr>
            <w:r>
              <w:rPr>
                <w:rFonts w:ascii="仿宋_GB2312" w:hAnsi="仿宋_GB2312" w:eastAsia="仿宋_GB2312" w:cs="仿宋_GB2312"/>
                <w:color w:val="000000"/>
                <w:sz w:val="24"/>
                <w:highlight w:val="none"/>
              </w:rPr>
              <w:t>4</w:t>
            </w:r>
          </w:p>
        </w:tc>
        <w:tc>
          <w:tcPr>
            <w:tcW w:w="906" w:type="dxa"/>
            <w:vMerge w:val="continue"/>
            <w:tcBorders>
              <w:top w:val="nil"/>
              <w:left w:val="nil"/>
              <w:bottom w:val="nil"/>
              <w:right w:val="single" w:color="000000" w:sz="4" w:space="0"/>
            </w:tcBorders>
          </w:tcPr>
          <w:p w14:paraId="081AB00B">
            <w:pPr>
              <w:rPr>
                <w:highlight w:val="none"/>
              </w:rPr>
            </w:pPr>
          </w:p>
        </w:tc>
        <w:tc>
          <w:tcPr>
            <w:tcW w:w="3597" w:type="dxa"/>
            <w:tcBorders>
              <w:top w:val="nil"/>
              <w:left w:val="nil"/>
              <w:bottom w:val="single" w:color="000000" w:sz="4" w:space="0"/>
              <w:right w:val="single" w:color="000000" w:sz="4" w:space="0"/>
            </w:tcBorders>
            <w:tcMar>
              <w:top w:w="0" w:type="dxa"/>
              <w:left w:w="105" w:type="dxa"/>
              <w:bottom w:w="0" w:type="dxa"/>
              <w:right w:w="105" w:type="dxa"/>
            </w:tcMar>
            <w:vAlign w:val="top"/>
          </w:tcPr>
          <w:p w14:paraId="06F451B6">
            <w:pPr>
              <w:pStyle w:val="4"/>
              <w:jc w:val="center"/>
              <w:rPr>
                <w:highlight w:val="none"/>
              </w:rPr>
            </w:pPr>
            <w:r>
              <w:rPr>
                <w:rFonts w:ascii="仿宋_GB2312" w:hAnsi="仿宋_GB2312" w:eastAsia="仿宋_GB2312" w:cs="仿宋_GB2312"/>
                <w:color w:val="000000"/>
                <w:sz w:val="24"/>
                <w:highlight w:val="none"/>
              </w:rPr>
              <w:t>及时有效的监督施工单位文明施工，如有发现不文明施工的，及时劝阻、制止，如制止无效，及时报告后勤部门处理。</w:t>
            </w:r>
          </w:p>
        </w:tc>
        <w:tc>
          <w:tcPr>
            <w:tcW w:w="19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48585370">
            <w:pPr>
              <w:pStyle w:val="4"/>
              <w:jc w:val="center"/>
              <w:rPr>
                <w:highlight w:val="none"/>
              </w:rPr>
            </w:pPr>
            <w:r>
              <w:rPr>
                <w:rFonts w:ascii="仿宋_GB2312" w:hAnsi="仿宋_GB2312" w:eastAsia="仿宋_GB2312" w:cs="仿宋_GB2312"/>
                <w:color w:val="000000"/>
                <w:sz w:val="24"/>
                <w:highlight w:val="none"/>
              </w:rPr>
              <w:t>不符合一项扣0.5分，扣完为止。</w:t>
            </w:r>
          </w:p>
        </w:tc>
        <w:tc>
          <w:tcPr>
            <w:tcW w:w="7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43AD103D">
            <w:pPr>
              <w:pStyle w:val="4"/>
              <w:jc w:val="center"/>
              <w:rPr>
                <w:highlight w:val="none"/>
              </w:rPr>
            </w:pPr>
            <w:r>
              <w:rPr>
                <w:rFonts w:ascii="仿宋_GB2312" w:hAnsi="仿宋_GB2312" w:eastAsia="仿宋_GB2312" w:cs="仿宋_GB2312"/>
                <w:color w:val="000000"/>
                <w:sz w:val="24"/>
                <w:highlight w:val="none"/>
              </w:rPr>
              <w:t>4</w:t>
            </w:r>
          </w:p>
        </w:tc>
        <w:tc>
          <w:tcPr>
            <w:tcW w:w="555" w:type="dxa"/>
            <w:tcBorders>
              <w:top w:val="nil"/>
              <w:left w:val="nil"/>
              <w:bottom w:val="single" w:color="000000" w:sz="4" w:space="0"/>
              <w:right w:val="single" w:color="000000" w:sz="4" w:space="0"/>
            </w:tcBorders>
            <w:tcMar>
              <w:top w:w="0" w:type="dxa"/>
              <w:left w:w="105" w:type="dxa"/>
              <w:bottom w:w="0" w:type="dxa"/>
              <w:right w:w="105" w:type="dxa"/>
            </w:tcMar>
            <w:vAlign w:val="top"/>
          </w:tcPr>
          <w:p w14:paraId="1B3CF6CB">
            <w:pPr>
              <w:pStyle w:val="4"/>
              <w:jc w:val="center"/>
              <w:rPr>
                <w:highlight w:val="none"/>
              </w:rPr>
            </w:pPr>
          </w:p>
        </w:tc>
      </w:tr>
      <w:tr w14:paraId="5EFDC98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8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C860397">
            <w:pPr>
              <w:pStyle w:val="4"/>
              <w:jc w:val="center"/>
              <w:rPr>
                <w:highlight w:val="none"/>
              </w:rPr>
            </w:pPr>
            <w:r>
              <w:rPr>
                <w:rFonts w:ascii="仿宋_GB2312" w:hAnsi="仿宋_GB2312" w:eastAsia="仿宋_GB2312" w:cs="仿宋_GB2312"/>
                <w:color w:val="000000"/>
                <w:sz w:val="24"/>
                <w:highlight w:val="none"/>
              </w:rPr>
              <w:t>5</w:t>
            </w:r>
          </w:p>
        </w:tc>
        <w:tc>
          <w:tcPr>
            <w:tcW w:w="906" w:type="dxa"/>
            <w:vMerge w:val="continue"/>
            <w:tcBorders>
              <w:top w:val="nil"/>
              <w:left w:val="nil"/>
              <w:bottom w:val="nil"/>
              <w:right w:val="single" w:color="000000" w:sz="4" w:space="0"/>
            </w:tcBorders>
          </w:tcPr>
          <w:p w14:paraId="33F42FB6">
            <w:pPr>
              <w:rPr>
                <w:highlight w:val="none"/>
              </w:rPr>
            </w:pPr>
          </w:p>
        </w:tc>
        <w:tc>
          <w:tcPr>
            <w:tcW w:w="3597" w:type="dxa"/>
            <w:tcBorders>
              <w:top w:val="nil"/>
              <w:left w:val="nil"/>
              <w:bottom w:val="single" w:color="000000" w:sz="4" w:space="0"/>
              <w:right w:val="single" w:color="000000" w:sz="4" w:space="0"/>
            </w:tcBorders>
            <w:tcMar>
              <w:top w:w="0" w:type="dxa"/>
              <w:left w:w="105" w:type="dxa"/>
              <w:bottom w:w="0" w:type="dxa"/>
              <w:right w:w="105" w:type="dxa"/>
            </w:tcMar>
            <w:vAlign w:val="top"/>
          </w:tcPr>
          <w:p w14:paraId="70431253">
            <w:pPr>
              <w:pStyle w:val="4"/>
              <w:jc w:val="center"/>
              <w:rPr>
                <w:highlight w:val="none"/>
              </w:rPr>
            </w:pPr>
            <w:r>
              <w:rPr>
                <w:rFonts w:ascii="仿宋_GB2312" w:hAnsi="仿宋_GB2312" w:eastAsia="仿宋_GB2312" w:cs="仿宋_GB2312"/>
                <w:color w:val="000000"/>
                <w:sz w:val="24"/>
                <w:highlight w:val="none"/>
              </w:rPr>
              <w:t>做好会务工作，做好场地会前、会后清理，保持干净整洁，不翻看会议材料。</w:t>
            </w:r>
          </w:p>
        </w:tc>
        <w:tc>
          <w:tcPr>
            <w:tcW w:w="19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31D79AEC">
            <w:pPr>
              <w:pStyle w:val="4"/>
              <w:jc w:val="center"/>
              <w:rPr>
                <w:highlight w:val="none"/>
              </w:rPr>
            </w:pPr>
            <w:r>
              <w:rPr>
                <w:rFonts w:ascii="仿宋_GB2312" w:hAnsi="仿宋_GB2312" w:eastAsia="仿宋_GB2312" w:cs="仿宋_GB2312"/>
                <w:color w:val="000000"/>
                <w:sz w:val="24"/>
                <w:highlight w:val="none"/>
              </w:rPr>
              <w:t>不符合一项扣0.5分，扣完为止。</w:t>
            </w:r>
          </w:p>
        </w:tc>
        <w:tc>
          <w:tcPr>
            <w:tcW w:w="7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681C8D31">
            <w:pPr>
              <w:pStyle w:val="4"/>
              <w:jc w:val="center"/>
              <w:rPr>
                <w:highlight w:val="none"/>
              </w:rPr>
            </w:pPr>
            <w:r>
              <w:rPr>
                <w:rFonts w:ascii="仿宋_GB2312" w:hAnsi="仿宋_GB2312" w:eastAsia="仿宋_GB2312" w:cs="仿宋_GB2312"/>
                <w:color w:val="000000"/>
                <w:sz w:val="24"/>
                <w:highlight w:val="none"/>
              </w:rPr>
              <w:t>4</w:t>
            </w:r>
          </w:p>
        </w:tc>
        <w:tc>
          <w:tcPr>
            <w:tcW w:w="555" w:type="dxa"/>
            <w:tcBorders>
              <w:top w:val="nil"/>
              <w:left w:val="nil"/>
              <w:bottom w:val="single" w:color="000000" w:sz="4" w:space="0"/>
              <w:right w:val="single" w:color="000000" w:sz="4" w:space="0"/>
            </w:tcBorders>
            <w:tcMar>
              <w:top w:w="0" w:type="dxa"/>
              <w:left w:w="105" w:type="dxa"/>
              <w:bottom w:w="0" w:type="dxa"/>
              <w:right w:w="105" w:type="dxa"/>
            </w:tcMar>
            <w:vAlign w:val="top"/>
          </w:tcPr>
          <w:p w14:paraId="3CAE2110">
            <w:pPr>
              <w:pStyle w:val="4"/>
              <w:jc w:val="center"/>
              <w:rPr>
                <w:highlight w:val="none"/>
              </w:rPr>
            </w:pPr>
          </w:p>
        </w:tc>
      </w:tr>
      <w:tr w14:paraId="52405FF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8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A8C8418">
            <w:pPr>
              <w:pStyle w:val="4"/>
              <w:jc w:val="center"/>
              <w:rPr>
                <w:highlight w:val="none"/>
              </w:rPr>
            </w:pPr>
            <w:r>
              <w:rPr>
                <w:rFonts w:ascii="仿宋_GB2312" w:hAnsi="仿宋_GB2312" w:eastAsia="仿宋_GB2312" w:cs="仿宋_GB2312"/>
                <w:color w:val="000000"/>
                <w:sz w:val="24"/>
                <w:highlight w:val="none"/>
              </w:rPr>
              <w:t>6</w:t>
            </w:r>
          </w:p>
        </w:tc>
        <w:tc>
          <w:tcPr>
            <w:tcW w:w="906" w:type="dxa"/>
            <w:vMerge w:val="continue"/>
            <w:tcBorders>
              <w:top w:val="nil"/>
              <w:left w:val="nil"/>
              <w:bottom w:val="nil"/>
              <w:right w:val="single" w:color="000000" w:sz="4" w:space="0"/>
            </w:tcBorders>
          </w:tcPr>
          <w:p w14:paraId="533E990E">
            <w:pPr>
              <w:rPr>
                <w:highlight w:val="none"/>
              </w:rPr>
            </w:pPr>
          </w:p>
        </w:tc>
        <w:tc>
          <w:tcPr>
            <w:tcW w:w="3597" w:type="dxa"/>
            <w:tcBorders>
              <w:top w:val="nil"/>
              <w:left w:val="nil"/>
              <w:bottom w:val="single" w:color="000000" w:sz="4" w:space="0"/>
              <w:right w:val="single" w:color="000000" w:sz="4" w:space="0"/>
            </w:tcBorders>
            <w:tcMar>
              <w:top w:w="0" w:type="dxa"/>
              <w:left w:w="105" w:type="dxa"/>
              <w:bottom w:w="0" w:type="dxa"/>
              <w:right w:w="105" w:type="dxa"/>
            </w:tcMar>
            <w:vAlign w:val="top"/>
          </w:tcPr>
          <w:p w14:paraId="10B7AD9B">
            <w:pPr>
              <w:pStyle w:val="4"/>
              <w:jc w:val="center"/>
              <w:rPr>
                <w:highlight w:val="none"/>
              </w:rPr>
            </w:pPr>
            <w:r>
              <w:rPr>
                <w:rFonts w:ascii="仿宋_GB2312" w:hAnsi="仿宋_GB2312" w:eastAsia="仿宋_GB2312" w:cs="仿宋_GB2312"/>
                <w:color w:val="000000"/>
                <w:sz w:val="24"/>
                <w:highlight w:val="none"/>
              </w:rPr>
              <w:t>能及时有效的完成学校交办的与物业相关任务；无被学生、学生家长、老师或相关部门投诉。</w:t>
            </w:r>
          </w:p>
        </w:tc>
        <w:tc>
          <w:tcPr>
            <w:tcW w:w="19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4F9FC002">
            <w:pPr>
              <w:pStyle w:val="4"/>
              <w:jc w:val="center"/>
              <w:rPr>
                <w:highlight w:val="none"/>
              </w:rPr>
            </w:pPr>
            <w:r>
              <w:rPr>
                <w:rFonts w:ascii="仿宋_GB2312" w:hAnsi="仿宋_GB2312" w:eastAsia="仿宋_GB2312" w:cs="仿宋_GB2312"/>
                <w:color w:val="000000"/>
                <w:sz w:val="24"/>
                <w:highlight w:val="none"/>
              </w:rPr>
              <w:t>不符合一项扣0.5分，扣完为止。</w:t>
            </w:r>
          </w:p>
        </w:tc>
        <w:tc>
          <w:tcPr>
            <w:tcW w:w="7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2CCF4A61">
            <w:pPr>
              <w:pStyle w:val="4"/>
              <w:jc w:val="center"/>
              <w:rPr>
                <w:highlight w:val="none"/>
              </w:rPr>
            </w:pPr>
            <w:r>
              <w:rPr>
                <w:rFonts w:ascii="仿宋_GB2312" w:hAnsi="仿宋_GB2312" w:eastAsia="仿宋_GB2312" w:cs="仿宋_GB2312"/>
                <w:color w:val="000000"/>
                <w:sz w:val="24"/>
                <w:highlight w:val="none"/>
              </w:rPr>
              <w:t>4</w:t>
            </w:r>
          </w:p>
        </w:tc>
        <w:tc>
          <w:tcPr>
            <w:tcW w:w="555" w:type="dxa"/>
            <w:tcBorders>
              <w:top w:val="nil"/>
              <w:left w:val="nil"/>
              <w:bottom w:val="single" w:color="000000" w:sz="4" w:space="0"/>
              <w:right w:val="single" w:color="000000" w:sz="4" w:space="0"/>
            </w:tcBorders>
            <w:tcMar>
              <w:top w:w="0" w:type="dxa"/>
              <w:left w:w="105" w:type="dxa"/>
              <w:bottom w:w="0" w:type="dxa"/>
              <w:right w:w="105" w:type="dxa"/>
            </w:tcMar>
            <w:vAlign w:val="top"/>
          </w:tcPr>
          <w:p w14:paraId="6354869D">
            <w:pPr>
              <w:pStyle w:val="4"/>
              <w:jc w:val="center"/>
              <w:rPr>
                <w:highlight w:val="none"/>
              </w:rPr>
            </w:pPr>
          </w:p>
        </w:tc>
      </w:tr>
      <w:tr w14:paraId="322ED1C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8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0DAD2324">
            <w:pPr>
              <w:pStyle w:val="4"/>
              <w:jc w:val="center"/>
              <w:rPr>
                <w:highlight w:val="none"/>
              </w:rPr>
            </w:pPr>
            <w:r>
              <w:rPr>
                <w:rFonts w:ascii="仿宋_GB2312" w:hAnsi="仿宋_GB2312" w:eastAsia="仿宋_GB2312" w:cs="仿宋_GB2312"/>
                <w:color w:val="000000"/>
                <w:sz w:val="24"/>
                <w:highlight w:val="none"/>
              </w:rPr>
              <w:t>7</w:t>
            </w:r>
          </w:p>
        </w:tc>
        <w:tc>
          <w:tcPr>
            <w:tcW w:w="906" w:type="dxa"/>
            <w:vMerge w:val="restart"/>
            <w:tcBorders>
              <w:top w:val="single" w:color="000000" w:sz="4" w:space="0"/>
              <w:left w:val="nil"/>
              <w:bottom w:val="nil"/>
              <w:right w:val="single" w:color="000000" w:sz="4" w:space="0"/>
            </w:tcBorders>
            <w:tcMar>
              <w:top w:w="0" w:type="dxa"/>
              <w:left w:w="105" w:type="dxa"/>
              <w:bottom w:w="0" w:type="dxa"/>
              <w:right w:w="105" w:type="dxa"/>
            </w:tcMar>
            <w:vAlign w:val="top"/>
          </w:tcPr>
          <w:p w14:paraId="6698D9A9">
            <w:pPr>
              <w:pStyle w:val="4"/>
              <w:jc w:val="center"/>
              <w:rPr>
                <w:highlight w:val="none"/>
              </w:rPr>
            </w:pPr>
            <w:r>
              <w:rPr>
                <w:rFonts w:ascii="仿宋_GB2312" w:hAnsi="仿宋_GB2312" w:eastAsia="仿宋_GB2312" w:cs="仿宋_GB2312"/>
                <w:color w:val="000000"/>
                <w:sz w:val="24"/>
                <w:highlight w:val="none"/>
              </w:rPr>
              <w:t>卫生保洁管理（28分）</w:t>
            </w:r>
          </w:p>
        </w:tc>
        <w:tc>
          <w:tcPr>
            <w:tcW w:w="3597" w:type="dxa"/>
            <w:tcBorders>
              <w:top w:val="nil"/>
              <w:left w:val="nil"/>
              <w:bottom w:val="single" w:color="000000" w:sz="4" w:space="0"/>
              <w:right w:val="single" w:color="000000" w:sz="4" w:space="0"/>
            </w:tcBorders>
            <w:tcMar>
              <w:top w:w="0" w:type="dxa"/>
              <w:left w:w="105" w:type="dxa"/>
              <w:bottom w:w="0" w:type="dxa"/>
              <w:right w:w="105" w:type="dxa"/>
            </w:tcMar>
            <w:vAlign w:val="top"/>
          </w:tcPr>
          <w:p w14:paraId="3CAD0916">
            <w:pPr>
              <w:pStyle w:val="4"/>
              <w:jc w:val="center"/>
              <w:rPr>
                <w:highlight w:val="none"/>
              </w:rPr>
            </w:pPr>
            <w:r>
              <w:rPr>
                <w:rFonts w:ascii="仿宋_GB2312" w:hAnsi="仿宋_GB2312" w:eastAsia="仿宋_GB2312" w:cs="仿宋_GB2312"/>
                <w:color w:val="000000"/>
                <w:sz w:val="24"/>
                <w:highlight w:val="none"/>
              </w:rPr>
              <w:t>室内各公共部位干净整洁无杂物，墙面、地面、走廊、门厅、楼梯扶手、电梯轿厢等部位保持清洁无污渍、积灰、杂物，门窗玻璃洁净明亮。</w:t>
            </w:r>
          </w:p>
        </w:tc>
        <w:tc>
          <w:tcPr>
            <w:tcW w:w="19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1D699F45">
            <w:pPr>
              <w:pStyle w:val="4"/>
              <w:jc w:val="center"/>
              <w:rPr>
                <w:highlight w:val="none"/>
              </w:rPr>
            </w:pPr>
            <w:r>
              <w:rPr>
                <w:rFonts w:ascii="仿宋_GB2312" w:hAnsi="仿宋_GB2312" w:eastAsia="仿宋_GB2312" w:cs="仿宋_GB2312"/>
                <w:color w:val="000000"/>
                <w:sz w:val="24"/>
                <w:highlight w:val="none"/>
              </w:rPr>
              <w:t>不符合一项扣0.5分，扣完为止。</w:t>
            </w:r>
          </w:p>
        </w:tc>
        <w:tc>
          <w:tcPr>
            <w:tcW w:w="7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755B199E">
            <w:pPr>
              <w:pStyle w:val="4"/>
              <w:jc w:val="center"/>
              <w:rPr>
                <w:highlight w:val="none"/>
              </w:rPr>
            </w:pPr>
            <w:r>
              <w:rPr>
                <w:rFonts w:ascii="仿宋_GB2312" w:hAnsi="仿宋_GB2312" w:eastAsia="仿宋_GB2312" w:cs="仿宋_GB2312"/>
                <w:color w:val="000000"/>
                <w:sz w:val="24"/>
                <w:highlight w:val="none"/>
              </w:rPr>
              <w:t>4</w:t>
            </w:r>
          </w:p>
        </w:tc>
        <w:tc>
          <w:tcPr>
            <w:tcW w:w="555" w:type="dxa"/>
            <w:tcBorders>
              <w:top w:val="nil"/>
              <w:left w:val="nil"/>
              <w:bottom w:val="single" w:color="000000" w:sz="4" w:space="0"/>
              <w:right w:val="single" w:color="000000" w:sz="4" w:space="0"/>
            </w:tcBorders>
            <w:tcMar>
              <w:top w:w="0" w:type="dxa"/>
              <w:left w:w="105" w:type="dxa"/>
              <w:bottom w:w="0" w:type="dxa"/>
              <w:right w:w="105" w:type="dxa"/>
            </w:tcMar>
            <w:vAlign w:val="top"/>
          </w:tcPr>
          <w:p w14:paraId="1A6FDA5E">
            <w:pPr>
              <w:pStyle w:val="4"/>
              <w:jc w:val="center"/>
              <w:rPr>
                <w:highlight w:val="none"/>
              </w:rPr>
            </w:pPr>
          </w:p>
        </w:tc>
      </w:tr>
      <w:tr w14:paraId="67CC76A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8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24FB22A">
            <w:pPr>
              <w:pStyle w:val="4"/>
              <w:jc w:val="center"/>
              <w:rPr>
                <w:highlight w:val="none"/>
              </w:rPr>
            </w:pPr>
            <w:r>
              <w:rPr>
                <w:rFonts w:ascii="仿宋_GB2312" w:hAnsi="仿宋_GB2312" w:eastAsia="仿宋_GB2312" w:cs="仿宋_GB2312"/>
                <w:color w:val="000000"/>
                <w:sz w:val="24"/>
                <w:highlight w:val="none"/>
              </w:rPr>
              <w:t>8</w:t>
            </w:r>
          </w:p>
        </w:tc>
        <w:tc>
          <w:tcPr>
            <w:tcW w:w="906" w:type="dxa"/>
            <w:vMerge w:val="continue"/>
            <w:tcBorders>
              <w:top w:val="single" w:color="000000" w:sz="4" w:space="0"/>
              <w:left w:val="nil"/>
              <w:bottom w:val="nil"/>
              <w:right w:val="single" w:color="000000" w:sz="4" w:space="0"/>
            </w:tcBorders>
          </w:tcPr>
          <w:p w14:paraId="5504EBFE">
            <w:pPr>
              <w:rPr>
                <w:highlight w:val="none"/>
              </w:rPr>
            </w:pPr>
          </w:p>
        </w:tc>
        <w:tc>
          <w:tcPr>
            <w:tcW w:w="3597" w:type="dxa"/>
            <w:tcBorders>
              <w:top w:val="nil"/>
              <w:left w:val="nil"/>
              <w:bottom w:val="single" w:color="000000" w:sz="4" w:space="0"/>
              <w:right w:val="single" w:color="000000" w:sz="4" w:space="0"/>
            </w:tcBorders>
            <w:tcMar>
              <w:top w:w="0" w:type="dxa"/>
              <w:left w:w="105" w:type="dxa"/>
              <w:bottom w:w="0" w:type="dxa"/>
              <w:right w:w="105" w:type="dxa"/>
            </w:tcMar>
            <w:vAlign w:val="top"/>
          </w:tcPr>
          <w:p w14:paraId="5303D0E6">
            <w:pPr>
              <w:pStyle w:val="4"/>
              <w:jc w:val="center"/>
              <w:rPr>
                <w:highlight w:val="none"/>
              </w:rPr>
            </w:pPr>
            <w:r>
              <w:rPr>
                <w:rFonts w:ascii="仿宋_GB2312" w:hAnsi="仿宋_GB2312" w:eastAsia="仿宋_GB2312" w:cs="仿宋_GB2312"/>
                <w:color w:val="000000"/>
                <w:sz w:val="24"/>
                <w:highlight w:val="none"/>
              </w:rPr>
              <w:t>室外公共环境卫生整洁、干净无烟头、纸屑等。各类设施无灰层污渍。</w:t>
            </w:r>
          </w:p>
        </w:tc>
        <w:tc>
          <w:tcPr>
            <w:tcW w:w="19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6C030382">
            <w:pPr>
              <w:pStyle w:val="4"/>
              <w:jc w:val="center"/>
              <w:rPr>
                <w:highlight w:val="none"/>
              </w:rPr>
            </w:pPr>
            <w:r>
              <w:rPr>
                <w:rFonts w:ascii="仿宋_GB2312" w:hAnsi="仿宋_GB2312" w:eastAsia="仿宋_GB2312" w:cs="仿宋_GB2312"/>
                <w:color w:val="000000"/>
                <w:sz w:val="24"/>
                <w:highlight w:val="none"/>
              </w:rPr>
              <w:t>不符合一项扣0.5分，扣完为止。</w:t>
            </w:r>
          </w:p>
        </w:tc>
        <w:tc>
          <w:tcPr>
            <w:tcW w:w="7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4A81BBBA">
            <w:pPr>
              <w:pStyle w:val="4"/>
              <w:jc w:val="center"/>
              <w:rPr>
                <w:highlight w:val="none"/>
              </w:rPr>
            </w:pPr>
            <w:r>
              <w:rPr>
                <w:rFonts w:ascii="仿宋_GB2312" w:hAnsi="仿宋_GB2312" w:eastAsia="仿宋_GB2312" w:cs="仿宋_GB2312"/>
                <w:color w:val="000000"/>
                <w:sz w:val="24"/>
                <w:highlight w:val="none"/>
              </w:rPr>
              <w:t>4</w:t>
            </w:r>
          </w:p>
        </w:tc>
        <w:tc>
          <w:tcPr>
            <w:tcW w:w="555" w:type="dxa"/>
            <w:tcBorders>
              <w:top w:val="nil"/>
              <w:left w:val="nil"/>
              <w:bottom w:val="single" w:color="000000" w:sz="4" w:space="0"/>
              <w:right w:val="single" w:color="000000" w:sz="4" w:space="0"/>
            </w:tcBorders>
            <w:tcMar>
              <w:top w:w="0" w:type="dxa"/>
              <w:left w:w="105" w:type="dxa"/>
              <w:bottom w:w="0" w:type="dxa"/>
              <w:right w:w="105" w:type="dxa"/>
            </w:tcMar>
            <w:vAlign w:val="top"/>
          </w:tcPr>
          <w:p w14:paraId="0ADFD04F">
            <w:pPr>
              <w:pStyle w:val="4"/>
              <w:jc w:val="center"/>
              <w:rPr>
                <w:highlight w:val="none"/>
              </w:rPr>
            </w:pPr>
          </w:p>
        </w:tc>
      </w:tr>
      <w:tr w14:paraId="765E5DA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8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60BB0D0">
            <w:pPr>
              <w:pStyle w:val="4"/>
              <w:jc w:val="center"/>
              <w:rPr>
                <w:highlight w:val="none"/>
              </w:rPr>
            </w:pPr>
            <w:r>
              <w:rPr>
                <w:rFonts w:ascii="仿宋_GB2312" w:hAnsi="仿宋_GB2312" w:eastAsia="仿宋_GB2312" w:cs="仿宋_GB2312"/>
                <w:color w:val="000000"/>
                <w:sz w:val="24"/>
                <w:highlight w:val="none"/>
              </w:rPr>
              <w:t>9</w:t>
            </w:r>
          </w:p>
        </w:tc>
        <w:tc>
          <w:tcPr>
            <w:tcW w:w="906" w:type="dxa"/>
            <w:vMerge w:val="continue"/>
            <w:tcBorders>
              <w:top w:val="single" w:color="000000" w:sz="4" w:space="0"/>
              <w:left w:val="nil"/>
              <w:bottom w:val="nil"/>
              <w:right w:val="single" w:color="000000" w:sz="4" w:space="0"/>
            </w:tcBorders>
          </w:tcPr>
          <w:p w14:paraId="7E290883">
            <w:pPr>
              <w:rPr>
                <w:highlight w:val="none"/>
              </w:rPr>
            </w:pPr>
          </w:p>
        </w:tc>
        <w:tc>
          <w:tcPr>
            <w:tcW w:w="3597" w:type="dxa"/>
            <w:tcBorders>
              <w:top w:val="nil"/>
              <w:left w:val="nil"/>
              <w:bottom w:val="single" w:color="000000" w:sz="4" w:space="0"/>
              <w:right w:val="single" w:color="000000" w:sz="4" w:space="0"/>
            </w:tcBorders>
            <w:tcMar>
              <w:top w:w="0" w:type="dxa"/>
              <w:left w:w="105" w:type="dxa"/>
              <w:bottom w:w="0" w:type="dxa"/>
              <w:right w:w="105" w:type="dxa"/>
            </w:tcMar>
            <w:vAlign w:val="top"/>
          </w:tcPr>
          <w:p w14:paraId="535D5A80">
            <w:pPr>
              <w:pStyle w:val="4"/>
              <w:jc w:val="center"/>
              <w:rPr>
                <w:highlight w:val="none"/>
              </w:rPr>
            </w:pPr>
            <w:r>
              <w:rPr>
                <w:rFonts w:ascii="仿宋_GB2312" w:hAnsi="仿宋_GB2312" w:eastAsia="仿宋_GB2312" w:cs="仿宋_GB2312"/>
                <w:color w:val="000000"/>
                <w:sz w:val="24"/>
                <w:highlight w:val="none"/>
              </w:rPr>
              <w:t>垃圾定点存放、及时处理、日产日清，无隔夜垃圾。所有垃圾分类屋一天至少两次做好清运，必要时应增加清理次数，同时每周至少进行一次垃圾分类屋的清洗，消除异味。</w:t>
            </w:r>
          </w:p>
        </w:tc>
        <w:tc>
          <w:tcPr>
            <w:tcW w:w="19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258355A4">
            <w:pPr>
              <w:pStyle w:val="4"/>
              <w:jc w:val="center"/>
              <w:rPr>
                <w:highlight w:val="none"/>
              </w:rPr>
            </w:pPr>
            <w:r>
              <w:rPr>
                <w:rFonts w:ascii="仿宋_GB2312" w:hAnsi="仿宋_GB2312" w:eastAsia="仿宋_GB2312" w:cs="仿宋_GB2312"/>
                <w:color w:val="000000"/>
                <w:sz w:val="24"/>
                <w:highlight w:val="none"/>
              </w:rPr>
              <w:t>不符合一项扣0.5分，扣完为止。</w:t>
            </w:r>
          </w:p>
        </w:tc>
        <w:tc>
          <w:tcPr>
            <w:tcW w:w="7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6AAAFE77">
            <w:pPr>
              <w:pStyle w:val="4"/>
              <w:jc w:val="center"/>
              <w:rPr>
                <w:highlight w:val="none"/>
              </w:rPr>
            </w:pPr>
            <w:r>
              <w:rPr>
                <w:rFonts w:ascii="仿宋_GB2312" w:hAnsi="仿宋_GB2312" w:eastAsia="仿宋_GB2312" w:cs="仿宋_GB2312"/>
                <w:color w:val="000000"/>
                <w:sz w:val="24"/>
                <w:highlight w:val="none"/>
              </w:rPr>
              <w:t>4</w:t>
            </w:r>
          </w:p>
        </w:tc>
        <w:tc>
          <w:tcPr>
            <w:tcW w:w="555" w:type="dxa"/>
            <w:tcBorders>
              <w:top w:val="nil"/>
              <w:left w:val="nil"/>
              <w:bottom w:val="single" w:color="000000" w:sz="4" w:space="0"/>
              <w:right w:val="single" w:color="000000" w:sz="4" w:space="0"/>
            </w:tcBorders>
            <w:tcMar>
              <w:top w:w="0" w:type="dxa"/>
              <w:left w:w="105" w:type="dxa"/>
              <w:bottom w:w="0" w:type="dxa"/>
              <w:right w:w="105" w:type="dxa"/>
            </w:tcMar>
            <w:vAlign w:val="top"/>
          </w:tcPr>
          <w:p w14:paraId="1FBC7A57">
            <w:pPr>
              <w:pStyle w:val="4"/>
              <w:jc w:val="center"/>
              <w:rPr>
                <w:highlight w:val="none"/>
              </w:rPr>
            </w:pPr>
          </w:p>
        </w:tc>
      </w:tr>
      <w:tr w14:paraId="09D6141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8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4DD1D64">
            <w:pPr>
              <w:pStyle w:val="4"/>
              <w:jc w:val="center"/>
              <w:rPr>
                <w:highlight w:val="none"/>
              </w:rPr>
            </w:pPr>
            <w:r>
              <w:rPr>
                <w:rFonts w:ascii="仿宋_GB2312" w:hAnsi="仿宋_GB2312" w:eastAsia="仿宋_GB2312" w:cs="仿宋_GB2312"/>
                <w:color w:val="000000"/>
                <w:sz w:val="24"/>
                <w:highlight w:val="none"/>
              </w:rPr>
              <w:t>10</w:t>
            </w:r>
          </w:p>
        </w:tc>
        <w:tc>
          <w:tcPr>
            <w:tcW w:w="906" w:type="dxa"/>
            <w:vMerge w:val="continue"/>
            <w:tcBorders>
              <w:top w:val="single" w:color="000000" w:sz="4" w:space="0"/>
              <w:left w:val="nil"/>
              <w:bottom w:val="nil"/>
              <w:right w:val="single" w:color="000000" w:sz="4" w:space="0"/>
            </w:tcBorders>
          </w:tcPr>
          <w:p w14:paraId="4240FFCA">
            <w:pPr>
              <w:rPr>
                <w:highlight w:val="none"/>
              </w:rPr>
            </w:pPr>
          </w:p>
        </w:tc>
        <w:tc>
          <w:tcPr>
            <w:tcW w:w="3597" w:type="dxa"/>
            <w:tcBorders>
              <w:top w:val="nil"/>
              <w:left w:val="nil"/>
              <w:bottom w:val="single" w:color="000000" w:sz="4" w:space="0"/>
              <w:right w:val="single" w:color="000000" w:sz="4" w:space="0"/>
            </w:tcBorders>
            <w:tcMar>
              <w:top w:w="0" w:type="dxa"/>
              <w:left w:w="105" w:type="dxa"/>
              <w:bottom w:w="0" w:type="dxa"/>
              <w:right w:w="105" w:type="dxa"/>
            </w:tcMar>
            <w:vAlign w:val="top"/>
          </w:tcPr>
          <w:p w14:paraId="17982044">
            <w:pPr>
              <w:pStyle w:val="4"/>
              <w:jc w:val="center"/>
              <w:rPr>
                <w:highlight w:val="none"/>
              </w:rPr>
            </w:pPr>
            <w:r>
              <w:rPr>
                <w:rFonts w:ascii="仿宋_GB2312" w:hAnsi="仿宋_GB2312" w:eastAsia="仿宋_GB2312" w:cs="仿宋_GB2312"/>
                <w:color w:val="000000"/>
                <w:sz w:val="24"/>
                <w:highlight w:val="none"/>
              </w:rPr>
              <w:t>屋顶、天台等部位无杂草、无杂物泥沙，排水管通畅。</w:t>
            </w:r>
          </w:p>
        </w:tc>
        <w:tc>
          <w:tcPr>
            <w:tcW w:w="19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438AFCF9">
            <w:pPr>
              <w:pStyle w:val="4"/>
              <w:jc w:val="center"/>
              <w:rPr>
                <w:highlight w:val="none"/>
              </w:rPr>
            </w:pPr>
            <w:r>
              <w:rPr>
                <w:rFonts w:ascii="仿宋_GB2312" w:hAnsi="仿宋_GB2312" w:eastAsia="仿宋_GB2312" w:cs="仿宋_GB2312"/>
                <w:color w:val="000000"/>
                <w:sz w:val="24"/>
                <w:highlight w:val="none"/>
              </w:rPr>
              <w:t>不符合一项扣0.5分，扣完为止。</w:t>
            </w:r>
          </w:p>
        </w:tc>
        <w:tc>
          <w:tcPr>
            <w:tcW w:w="7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7627F4EB">
            <w:pPr>
              <w:pStyle w:val="4"/>
              <w:jc w:val="center"/>
              <w:rPr>
                <w:highlight w:val="none"/>
              </w:rPr>
            </w:pPr>
            <w:r>
              <w:rPr>
                <w:rFonts w:ascii="仿宋_GB2312" w:hAnsi="仿宋_GB2312" w:eastAsia="仿宋_GB2312" w:cs="仿宋_GB2312"/>
                <w:color w:val="000000"/>
                <w:sz w:val="24"/>
                <w:highlight w:val="none"/>
              </w:rPr>
              <w:t>4</w:t>
            </w:r>
          </w:p>
        </w:tc>
        <w:tc>
          <w:tcPr>
            <w:tcW w:w="555" w:type="dxa"/>
            <w:tcBorders>
              <w:top w:val="nil"/>
              <w:left w:val="nil"/>
              <w:bottom w:val="single" w:color="000000" w:sz="4" w:space="0"/>
              <w:right w:val="single" w:color="000000" w:sz="4" w:space="0"/>
            </w:tcBorders>
            <w:tcMar>
              <w:top w:w="0" w:type="dxa"/>
              <w:left w:w="105" w:type="dxa"/>
              <w:bottom w:w="0" w:type="dxa"/>
              <w:right w:w="105" w:type="dxa"/>
            </w:tcMar>
            <w:vAlign w:val="top"/>
          </w:tcPr>
          <w:p w14:paraId="60037272">
            <w:pPr>
              <w:pStyle w:val="4"/>
              <w:jc w:val="center"/>
              <w:rPr>
                <w:highlight w:val="none"/>
              </w:rPr>
            </w:pPr>
          </w:p>
        </w:tc>
      </w:tr>
      <w:tr w14:paraId="11CDB8B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8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8C97FEC">
            <w:pPr>
              <w:pStyle w:val="4"/>
              <w:jc w:val="center"/>
              <w:rPr>
                <w:highlight w:val="none"/>
              </w:rPr>
            </w:pPr>
            <w:r>
              <w:rPr>
                <w:rFonts w:ascii="仿宋_GB2312" w:hAnsi="仿宋_GB2312" w:eastAsia="仿宋_GB2312" w:cs="仿宋_GB2312"/>
                <w:color w:val="000000"/>
                <w:sz w:val="24"/>
                <w:highlight w:val="none"/>
              </w:rPr>
              <w:t>11</w:t>
            </w:r>
          </w:p>
        </w:tc>
        <w:tc>
          <w:tcPr>
            <w:tcW w:w="906" w:type="dxa"/>
            <w:vMerge w:val="continue"/>
            <w:tcBorders>
              <w:top w:val="single" w:color="000000" w:sz="4" w:space="0"/>
              <w:left w:val="nil"/>
              <w:bottom w:val="nil"/>
              <w:right w:val="single" w:color="000000" w:sz="4" w:space="0"/>
            </w:tcBorders>
          </w:tcPr>
          <w:p w14:paraId="1F2E0E91">
            <w:pPr>
              <w:rPr>
                <w:highlight w:val="none"/>
              </w:rPr>
            </w:pPr>
          </w:p>
        </w:tc>
        <w:tc>
          <w:tcPr>
            <w:tcW w:w="3597" w:type="dxa"/>
            <w:tcBorders>
              <w:top w:val="nil"/>
              <w:left w:val="nil"/>
              <w:bottom w:val="single" w:color="000000" w:sz="4" w:space="0"/>
              <w:right w:val="single" w:color="000000" w:sz="4" w:space="0"/>
            </w:tcBorders>
            <w:tcMar>
              <w:top w:w="0" w:type="dxa"/>
              <w:left w:w="105" w:type="dxa"/>
              <w:bottom w:w="0" w:type="dxa"/>
              <w:right w:w="105" w:type="dxa"/>
            </w:tcMar>
            <w:vAlign w:val="top"/>
          </w:tcPr>
          <w:p w14:paraId="4C20AB04">
            <w:pPr>
              <w:pStyle w:val="4"/>
              <w:jc w:val="center"/>
              <w:rPr>
                <w:highlight w:val="none"/>
              </w:rPr>
            </w:pPr>
            <w:r>
              <w:rPr>
                <w:rFonts w:ascii="仿宋_GB2312" w:hAnsi="仿宋_GB2312" w:eastAsia="仿宋_GB2312" w:cs="仿宋_GB2312"/>
                <w:color w:val="000000"/>
                <w:sz w:val="24"/>
                <w:highlight w:val="none"/>
              </w:rPr>
              <w:t>常规预防性环境消杀到位，记录完整。</w:t>
            </w:r>
          </w:p>
        </w:tc>
        <w:tc>
          <w:tcPr>
            <w:tcW w:w="19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418690E6">
            <w:pPr>
              <w:pStyle w:val="4"/>
              <w:jc w:val="center"/>
              <w:rPr>
                <w:highlight w:val="none"/>
              </w:rPr>
            </w:pPr>
            <w:r>
              <w:rPr>
                <w:rFonts w:ascii="仿宋_GB2312" w:hAnsi="仿宋_GB2312" w:eastAsia="仿宋_GB2312" w:cs="仿宋_GB2312"/>
                <w:color w:val="000000"/>
                <w:sz w:val="24"/>
                <w:highlight w:val="none"/>
              </w:rPr>
              <w:t>不符合一项扣0.5分，扣完为止。</w:t>
            </w:r>
          </w:p>
        </w:tc>
        <w:tc>
          <w:tcPr>
            <w:tcW w:w="7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518998D3">
            <w:pPr>
              <w:pStyle w:val="4"/>
              <w:jc w:val="center"/>
              <w:rPr>
                <w:highlight w:val="none"/>
              </w:rPr>
            </w:pPr>
            <w:r>
              <w:rPr>
                <w:rFonts w:ascii="仿宋_GB2312" w:hAnsi="仿宋_GB2312" w:eastAsia="仿宋_GB2312" w:cs="仿宋_GB2312"/>
                <w:color w:val="000000"/>
                <w:sz w:val="24"/>
                <w:highlight w:val="none"/>
              </w:rPr>
              <w:t>4</w:t>
            </w:r>
          </w:p>
        </w:tc>
        <w:tc>
          <w:tcPr>
            <w:tcW w:w="555" w:type="dxa"/>
            <w:tcBorders>
              <w:top w:val="nil"/>
              <w:left w:val="nil"/>
              <w:bottom w:val="single" w:color="000000" w:sz="4" w:space="0"/>
              <w:right w:val="single" w:color="000000" w:sz="4" w:space="0"/>
            </w:tcBorders>
            <w:tcMar>
              <w:top w:w="0" w:type="dxa"/>
              <w:left w:w="105" w:type="dxa"/>
              <w:bottom w:w="0" w:type="dxa"/>
              <w:right w:w="105" w:type="dxa"/>
            </w:tcMar>
            <w:vAlign w:val="top"/>
          </w:tcPr>
          <w:p w14:paraId="7D160FB3">
            <w:pPr>
              <w:pStyle w:val="4"/>
              <w:jc w:val="center"/>
              <w:rPr>
                <w:highlight w:val="none"/>
              </w:rPr>
            </w:pPr>
          </w:p>
        </w:tc>
      </w:tr>
      <w:tr w14:paraId="5B893DA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8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4526D7A">
            <w:pPr>
              <w:pStyle w:val="4"/>
              <w:jc w:val="center"/>
              <w:rPr>
                <w:highlight w:val="none"/>
              </w:rPr>
            </w:pPr>
            <w:r>
              <w:rPr>
                <w:rFonts w:ascii="仿宋_GB2312" w:hAnsi="仿宋_GB2312" w:eastAsia="仿宋_GB2312" w:cs="仿宋_GB2312"/>
                <w:color w:val="000000"/>
                <w:sz w:val="24"/>
                <w:highlight w:val="none"/>
              </w:rPr>
              <w:t>12</w:t>
            </w:r>
          </w:p>
        </w:tc>
        <w:tc>
          <w:tcPr>
            <w:tcW w:w="906" w:type="dxa"/>
            <w:vMerge w:val="continue"/>
            <w:tcBorders>
              <w:top w:val="single" w:color="000000" w:sz="4" w:space="0"/>
              <w:left w:val="nil"/>
              <w:bottom w:val="nil"/>
              <w:right w:val="single" w:color="000000" w:sz="4" w:space="0"/>
            </w:tcBorders>
          </w:tcPr>
          <w:p w14:paraId="26A7593B">
            <w:pPr>
              <w:rPr>
                <w:highlight w:val="none"/>
              </w:rPr>
            </w:pPr>
          </w:p>
        </w:tc>
        <w:tc>
          <w:tcPr>
            <w:tcW w:w="3597" w:type="dxa"/>
            <w:tcBorders>
              <w:top w:val="nil"/>
              <w:left w:val="nil"/>
              <w:bottom w:val="single" w:color="000000" w:sz="4" w:space="0"/>
              <w:right w:val="single" w:color="000000" w:sz="4" w:space="0"/>
            </w:tcBorders>
            <w:tcMar>
              <w:top w:w="0" w:type="dxa"/>
              <w:left w:w="105" w:type="dxa"/>
              <w:bottom w:w="0" w:type="dxa"/>
              <w:right w:w="105" w:type="dxa"/>
            </w:tcMar>
            <w:vAlign w:val="top"/>
          </w:tcPr>
          <w:p w14:paraId="76D0D3B0">
            <w:pPr>
              <w:pStyle w:val="4"/>
              <w:jc w:val="center"/>
              <w:rPr>
                <w:highlight w:val="none"/>
              </w:rPr>
            </w:pPr>
            <w:r>
              <w:rPr>
                <w:rFonts w:ascii="仿宋_GB2312" w:hAnsi="仿宋_GB2312" w:eastAsia="仿宋_GB2312" w:cs="仿宋_GB2312"/>
                <w:color w:val="000000"/>
                <w:sz w:val="24"/>
                <w:highlight w:val="none"/>
              </w:rPr>
              <w:t>室外设施设备干净、明亮，无污迹、无明显灰尘、无乱张贴；室外垃圾桶、垃圾箱无损坏，卫生干净整洁。</w:t>
            </w:r>
          </w:p>
        </w:tc>
        <w:tc>
          <w:tcPr>
            <w:tcW w:w="19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1B10B16B">
            <w:pPr>
              <w:pStyle w:val="4"/>
              <w:jc w:val="center"/>
              <w:rPr>
                <w:highlight w:val="none"/>
              </w:rPr>
            </w:pPr>
            <w:r>
              <w:rPr>
                <w:rFonts w:ascii="仿宋_GB2312" w:hAnsi="仿宋_GB2312" w:eastAsia="仿宋_GB2312" w:cs="仿宋_GB2312"/>
                <w:color w:val="000000"/>
                <w:sz w:val="24"/>
                <w:highlight w:val="none"/>
              </w:rPr>
              <w:t>不符合一项扣0.5分，扣完为止。</w:t>
            </w:r>
          </w:p>
        </w:tc>
        <w:tc>
          <w:tcPr>
            <w:tcW w:w="7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1BFFB51C">
            <w:pPr>
              <w:pStyle w:val="4"/>
              <w:jc w:val="center"/>
              <w:rPr>
                <w:highlight w:val="none"/>
              </w:rPr>
            </w:pPr>
            <w:r>
              <w:rPr>
                <w:rFonts w:ascii="仿宋_GB2312" w:hAnsi="仿宋_GB2312" w:eastAsia="仿宋_GB2312" w:cs="仿宋_GB2312"/>
                <w:color w:val="000000"/>
                <w:sz w:val="24"/>
                <w:highlight w:val="none"/>
              </w:rPr>
              <w:t>4</w:t>
            </w:r>
          </w:p>
        </w:tc>
        <w:tc>
          <w:tcPr>
            <w:tcW w:w="555" w:type="dxa"/>
            <w:tcBorders>
              <w:top w:val="nil"/>
              <w:left w:val="nil"/>
              <w:bottom w:val="single" w:color="000000" w:sz="4" w:space="0"/>
              <w:right w:val="single" w:color="000000" w:sz="4" w:space="0"/>
            </w:tcBorders>
            <w:tcMar>
              <w:top w:w="0" w:type="dxa"/>
              <w:left w:w="105" w:type="dxa"/>
              <w:bottom w:w="0" w:type="dxa"/>
              <w:right w:w="105" w:type="dxa"/>
            </w:tcMar>
            <w:vAlign w:val="top"/>
          </w:tcPr>
          <w:p w14:paraId="236CC38F">
            <w:pPr>
              <w:pStyle w:val="4"/>
              <w:jc w:val="center"/>
              <w:rPr>
                <w:highlight w:val="none"/>
              </w:rPr>
            </w:pPr>
          </w:p>
        </w:tc>
      </w:tr>
      <w:tr w14:paraId="129EEAE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8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9AE0C58">
            <w:pPr>
              <w:pStyle w:val="4"/>
              <w:jc w:val="center"/>
              <w:rPr>
                <w:highlight w:val="none"/>
              </w:rPr>
            </w:pPr>
            <w:r>
              <w:rPr>
                <w:rFonts w:ascii="仿宋_GB2312" w:hAnsi="仿宋_GB2312" w:eastAsia="仿宋_GB2312" w:cs="仿宋_GB2312"/>
                <w:color w:val="000000"/>
                <w:sz w:val="24"/>
                <w:highlight w:val="none"/>
              </w:rPr>
              <w:t>13</w:t>
            </w:r>
          </w:p>
        </w:tc>
        <w:tc>
          <w:tcPr>
            <w:tcW w:w="906" w:type="dxa"/>
            <w:vMerge w:val="continue"/>
            <w:tcBorders>
              <w:top w:val="single" w:color="000000" w:sz="4" w:space="0"/>
              <w:left w:val="nil"/>
              <w:bottom w:val="nil"/>
              <w:right w:val="single" w:color="000000" w:sz="4" w:space="0"/>
            </w:tcBorders>
          </w:tcPr>
          <w:p w14:paraId="5EE1CD6C">
            <w:pPr>
              <w:rPr>
                <w:highlight w:val="none"/>
              </w:rPr>
            </w:pPr>
          </w:p>
        </w:tc>
        <w:tc>
          <w:tcPr>
            <w:tcW w:w="3597" w:type="dxa"/>
            <w:tcBorders>
              <w:top w:val="nil"/>
              <w:left w:val="nil"/>
              <w:bottom w:val="single" w:color="000000" w:sz="4" w:space="0"/>
              <w:right w:val="single" w:color="000000" w:sz="4" w:space="0"/>
            </w:tcBorders>
            <w:tcMar>
              <w:top w:w="0" w:type="dxa"/>
              <w:left w:w="105" w:type="dxa"/>
              <w:bottom w:w="0" w:type="dxa"/>
              <w:right w:w="105" w:type="dxa"/>
            </w:tcMar>
            <w:vAlign w:val="top"/>
          </w:tcPr>
          <w:p w14:paraId="15137A1B">
            <w:pPr>
              <w:pStyle w:val="4"/>
              <w:jc w:val="center"/>
              <w:rPr>
                <w:highlight w:val="none"/>
              </w:rPr>
            </w:pPr>
            <w:r>
              <w:rPr>
                <w:rFonts w:ascii="仿宋_GB2312" w:hAnsi="仿宋_GB2312" w:eastAsia="仿宋_GB2312" w:cs="仿宋_GB2312"/>
                <w:color w:val="000000"/>
                <w:sz w:val="24"/>
                <w:highlight w:val="none"/>
              </w:rPr>
              <w:t>文体中心、图书馆等按时间要求做好卫生清理工作，无积灰、无污渍，光亮。</w:t>
            </w:r>
          </w:p>
        </w:tc>
        <w:tc>
          <w:tcPr>
            <w:tcW w:w="19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30B8F7D7">
            <w:pPr>
              <w:pStyle w:val="4"/>
              <w:jc w:val="center"/>
              <w:rPr>
                <w:highlight w:val="none"/>
              </w:rPr>
            </w:pPr>
            <w:r>
              <w:rPr>
                <w:rFonts w:ascii="仿宋_GB2312" w:hAnsi="仿宋_GB2312" w:eastAsia="仿宋_GB2312" w:cs="仿宋_GB2312"/>
                <w:color w:val="000000"/>
                <w:sz w:val="24"/>
                <w:highlight w:val="none"/>
              </w:rPr>
              <w:t>不符合一项扣0.5分，扣完为止。</w:t>
            </w:r>
          </w:p>
        </w:tc>
        <w:tc>
          <w:tcPr>
            <w:tcW w:w="7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350D14FA">
            <w:pPr>
              <w:pStyle w:val="4"/>
              <w:jc w:val="center"/>
              <w:rPr>
                <w:highlight w:val="none"/>
              </w:rPr>
            </w:pPr>
            <w:r>
              <w:rPr>
                <w:rFonts w:ascii="仿宋_GB2312" w:hAnsi="仿宋_GB2312" w:eastAsia="仿宋_GB2312" w:cs="仿宋_GB2312"/>
                <w:color w:val="000000"/>
                <w:sz w:val="24"/>
                <w:highlight w:val="none"/>
              </w:rPr>
              <w:t>4</w:t>
            </w:r>
          </w:p>
        </w:tc>
        <w:tc>
          <w:tcPr>
            <w:tcW w:w="555" w:type="dxa"/>
            <w:tcBorders>
              <w:top w:val="nil"/>
              <w:left w:val="nil"/>
              <w:bottom w:val="single" w:color="000000" w:sz="4" w:space="0"/>
              <w:right w:val="single" w:color="000000" w:sz="4" w:space="0"/>
            </w:tcBorders>
            <w:tcMar>
              <w:top w:w="0" w:type="dxa"/>
              <w:left w:w="105" w:type="dxa"/>
              <w:bottom w:w="0" w:type="dxa"/>
              <w:right w:w="105" w:type="dxa"/>
            </w:tcMar>
            <w:vAlign w:val="top"/>
          </w:tcPr>
          <w:p w14:paraId="3B73124F">
            <w:pPr>
              <w:pStyle w:val="4"/>
              <w:jc w:val="center"/>
              <w:rPr>
                <w:highlight w:val="none"/>
              </w:rPr>
            </w:pPr>
          </w:p>
        </w:tc>
      </w:tr>
      <w:tr w14:paraId="7684E48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8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027538E9">
            <w:pPr>
              <w:pStyle w:val="4"/>
              <w:jc w:val="center"/>
              <w:rPr>
                <w:highlight w:val="none"/>
              </w:rPr>
            </w:pPr>
            <w:r>
              <w:rPr>
                <w:rFonts w:ascii="仿宋_GB2312" w:hAnsi="仿宋_GB2312" w:eastAsia="仿宋_GB2312" w:cs="仿宋_GB2312"/>
                <w:color w:val="000000"/>
                <w:sz w:val="24"/>
                <w:highlight w:val="none"/>
              </w:rPr>
              <w:t>14</w:t>
            </w:r>
          </w:p>
        </w:tc>
        <w:tc>
          <w:tcPr>
            <w:tcW w:w="906" w:type="dxa"/>
            <w:vMerge w:val="restart"/>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0B98EEA6">
            <w:pPr>
              <w:pStyle w:val="4"/>
              <w:jc w:val="center"/>
              <w:rPr>
                <w:highlight w:val="none"/>
              </w:rPr>
            </w:pPr>
            <w:r>
              <w:rPr>
                <w:rFonts w:ascii="仿宋_GB2312" w:hAnsi="仿宋_GB2312" w:eastAsia="仿宋_GB2312" w:cs="仿宋_GB2312"/>
                <w:color w:val="000000"/>
                <w:sz w:val="24"/>
                <w:highlight w:val="none"/>
              </w:rPr>
              <w:t>绿化养护管理（12分）</w:t>
            </w:r>
          </w:p>
        </w:tc>
        <w:tc>
          <w:tcPr>
            <w:tcW w:w="3597" w:type="dxa"/>
            <w:tcBorders>
              <w:top w:val="nil"/>
              <w:left w:val="nil"/>
              <w:bottom w:val="single" w:color="000000" w:sz="4" w:space="0"/>
              <w:right w:val="single" w:color="000000" w:sz="4" w:space="0"/>
            </w:tcBorders>
            <w:tcMar>
              <w:top w:w="0" w:type="dxa"/>
              <w:left w:w="105" w:type="dxa"/>
              <w:bottom w:w="0" w:type="dxa"/>
              <w:right w:w="105" w:type="dxa"/>
            </w:tcMar>
            <w:vAlign w:val="top"/>
          </w:tcPr>
          <w:p w14:paraId="0B9D590D">
            <w:pPr>
              <w:pStyle w:val="4"/>
              <w:jc w:val="center"/>
              <w:rPr>
                <w:highlight w:val="none"/>
              </w:rPr>
            </w:pPr>
            <w:r>
              <w:rPr>
                <w:rFonts w:ascii="仿宋_GB2312" w:hAnsi="仿宋_GB2312" w:eastAsia="仿宋_GB2312" w:cs="仿宋_GB2312"/>
                <w:color w:val="000000"/>
                <w:sz w:val="24"/>
                <w:highlight w:val="none"/>
              </w:rPr>
              <w:t>绿化养护及时、有效，及时浇灌、施肥，修剪、除草、病虫害防治与消杀。</w:t>
            </w:r>
          </w:p>
        </w:tc>
        <w:tc>
          <w:tcPr>
            <w:tcW w:w="19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3E636A47">
            <w:pPr>
              <w:pStyle w:val="4"/>
              <w:jc w:val="center"/>
              <w:rPr>
                <w:highlight w:val="none"/>
              </w:rPr>
            </w:pPr>
            <w:r>
              <w:rPr>
                <w:rFonts w:ascii="仿宋_GB2312" w:hAnsi="仿宋_GB2312" w:eastAsia="仿宋_GB2312" w:cs="仿宋_GB2312"/>
                <w:color w:val="000000"/>
                <w:sz w:val="24"/>
                <w:highlight w:val="none"/>
              </w:rPr>
              <w:t>不符合一项扣0.5分，扣完为止。</w:t>
            </w:r>
          </w:p>
        </w:tc>
        <w:tc>
          <w:tcPr>
            <w:tcW w:w="7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7F7B47DC">
            <w:pPr>
              <w:pStyle w:val="4"/>
              <w:jc w:val="center"/>
              <w:rPr>
                <w:highlight w:val="none"/>
              </w:rPr>
            </w:pPr>
            <w:r>
              <w:rPr>
                <w:rFonts w:ascii="仿宋_GB2312" w:hAnsi="仿宋_GB2312" w:eastAsia="仿宋_GB2312" w:cs="仿宋_GB2312"/>
                <w:color w:val="000000"/>
                <w:sz w:val="24"/>
                <w:highlight w:val="none"/>
              </w:rPr>
              <w:t>4</w:t>
            </w:r>
          </w:p>
        </w:tc>
        <w:tc>
          <w:tcPr>
            <w:tcW w:w="555" w:type="dxa"/>
            <w:tcBorders>
              <w:top w:val="nil"/>
              <w:left w:val="nil"/>
              <w:bottom w:val="single" w:color="000000" w:sz="4" w:space="0"/>
              <w:right w:val="single" w:color="000000" w:sz="4" w:space="0"/>
            </w:tcBorders>
            <w:tcMar>
              <w:top w:w="0" w:type="dxa"/>
              <w:left w:w="105" w:type="dxa"/>
              <w:bottom w:w="0" w:type="dxa"/>
              <w:right w:w="105" w:type="dxa"/>
            </w:tcMar>
            <w:vAlign w:val="top"/>
          </w:tcPr>
          <w:p w14:paraId="595FAC6D">
            <w:pPr>
              <w:pStyle w:val="4"/>
              <w:jc w:val="center"/>
              <w:rPr>
                <w:highlight w:val="none"/>
              </w:rPr>
            </w:pPr>
          </w:p>
        </w:tc>
      </w:tr>
      <w:tr w14:paraId="2E1A1AB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8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3E5AD9D">
            <w:pPr>
              <w:pStyle w:val="4"/>
              <w:jc w:val="center"/>
              <w:rPr>
                <w:highlight w:val="none"/>
              </w:rPr>
            </w:pPr>
            <w:r>
              <w:rPr>
                <w:rFonts w:ascii="仿宋_GB2312" w:hAnsi="仿宋_GB2312" w:eastAsia="仿宋_GB2312" w:cs="仿宋_GB2312"/>
                <w:color w:val="000000"/>
                <w:sz w:val="24"/>
                <w:highlight w:val="none"/>
              </w:rPr>
              <w:t>15</w:t>
            </w:r>
          </w:p>
        </w:tc>
        <w:tc>
          <w:tcPr>
            <w:tcW w:w="906" w:type="dxa"/>
            <w:vMerge w:val="continue"/>
            <w:tcBorders>
              <w:top w:val="single" w:color="000000" w:sz="4" w:space="0"/>
              <w:left w:val="nil"/>
              <w:bottom w:val="single" w:color="000000" w:sz="4" w:space="0"/>
              <w:right w:val="single" w:color="000000" w:sz="4" w:space="0"/>
            </w:tcBorders>
          </w:tcPr>
          <w:p w14:paraId="6A98BC5C">
            <w:pPr>
              <w:rPr>
                <w:highlight w:val="none"/>
              </w:rPr>
            </w:pPr>
          </w:p>
        </w:tc>
        <w:tc>
          <w:tcPr>
            <w:tcW w:w="3597" w:type="dxa"/>
            <w:tcBorders>
              <w:top w:val="nil"/>
              <w:left w:val="nil"/>
              <w:bottom w:val="single" w:color="000000" w:sz="4" w:space="0"/>
              <w:right w:val="single" w:color="000000" w:sz="4" w:space="0"/>
            </w:tcBorders>
            <w:tcMar>
              <w:top w:w="0" w:type="dxa"/>
              <w:left w:w="105" w:type="dxa"/>
              <w:bottom w:w="0" w:type="dxa"/>
              <w:right w:w="105" w:type="dxa"/>
            </w:tcMar>
            <w:vAlign w:val="top"/>
          </w:tcPr>
          <w:p w14:paraId="1BE6377C">
            <w:pPr>
              <w:pStyle w:val="4"/>
              <w:jc w:val="center"/>
              <w:rPr>
                <w:highlight w:val="none"/>
              </w:rPr>
            </w:pPr>
            <w:r>
              <w:rPr>
                <w:rFonts w:ascii="仿宋_GB2312" w:hAnsi="仿宋_GB2312" w:eastAsia="仿宋_GB2312" w:cs="仿宋_GB2312"/>
                <w:color w:val="000000"/>
                <w:sz w:val="24"/>
                <w:highlight w:val="none"/>
              </w:rPr>
              <w:t>配合学校完成各类重大活动的绿化养护管理。</w:t>
            </w:r>
          </w:p>
        </w:tc>
        <w:tc>
          <w:tcPr>
            <w:tcW w:w="19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5E81BC3E">
            <w:pPr>
              <w:pStyle w:val="4"/>
              <w:jc w:val="center"/>
              <w:rPr>
                <w:highlight w:val="none"/>
              </w:rPr>
            </w:pPr>
            <w:r>
              <w:rPr>
                <w:rFonts w:ascii="仿宋_GB2312" w:hAnsi="仿宋_GB2312" w:eastAsia="仿宋_GB2312" w:cs="仿宋_GB2312"/>
                <w:color w:val="000000"/>
                <w:sz w:val="24"/>
                <w:highlight w:val="none"/>
              </w:rPr>
              <w:t>不符合一项扣0.5分，扣完为止。</w:t>
            </w:r>
          </w:p>
        </w:tc>
        <w:tc>
          <w:tcPr>
            <w:tcW w:w="7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0648B479">
            <w:pPr>
              <w:pStyle w:val="4"/>
              <w:jc w:val="center"/>
              <w:rPr>
                <w:highlight w:val="none"/>
              </w:rPr>
            </w:pPr>
            <w:r>
              <w:rPr>
                <w:rFonts w:ascii="仿宋_GB2312" w:hAnsi="仿宋_GB2312" w:eastAsia="仿宋_GB2312" w:cs="仿宋_GB2312"/>
                <w:color w:val="000000"/>
                <w:sz w:val="24"/>
                <w:highlight w:val="none"/>
              </w:rPr>
              <w:t>4</w:t>
            </w:r>
          </w:p>
        </w:tc>
        <w:tc>
          <w:tcPr>
            <w:tcW w:w="555" w:type="dxa"/>
            <w:tcBorders>
              <w:top w:val="nil"/>
              <w:left w:val="nil"/>
              <w:bottom w:val="single" w:color="000000" w:sz="4" w:space="0"/>
              <w:right w:val="single" w:color="000000" w:sz="4" w:space="0"/>
            </w:tcBorders>
            <w:tcMar>
              <w:top w:w="0" w:type="dxa"/>
              <w:left w:w="105" w:type="dxa"/>
              <w:bottom w:w="0" w:type="dxa"/>
              <w:right w:w="105" w:type="dxa"/>
            </w:tcMar>
            <w:vAlign w:val="top"/>
          </w:tcPr>
          <w:p w14:paraId="2C6527A7">
            <w:pPr>
              <w:pStyle w:val="4"/>
              <w:jc w:val="center"/>
              <w:rPr>
                <w:highlight w:val="none"/>
              </w:rPr>
            </w:pPr>
          </w:p>
        </w:tc>
      </w:tr>
      <w:tr w14:paraId="2003241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8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A441E11">
            <w:pPr>
              <w:pStyle w:val="4"/>
              <w:jc w:val="center"/>
              <w:rPr>
                <w:highlight w:val="none"/>
              </w:rPr>
            </w:pPr>
            <w:r>
              <w:rPr>
                <w:rFonts w:ascii="仿宋_GB2312" w:hAnsi="仿宋_GB2312" w:eastAsia="仿宋_GB2312" w:cs="仿宋_GB2312"/>
                <w:color w:val="000000"/>
                <w:sz w:val="24"/>
                <w:highlight w:val="none"/>
              </w:rPr>
              <w:t>16</w:t>
            </w:r>
          </w:p>
        </w:tc>
        <w:tc>
          <w:tcPr>
            <w:tcW w:w="906" w:type="dxa"/>
            <w:vMerge w:val="continue"/>
            <w:tcBorders>
              <w:top w:val="single" w:color="000000" w:sz="4" w:space="0"/>
              <w:left w:val="nil"/>
              <w:bottom w:val="single" w:color="000000" w:sz="4" w:space="0"/>
              <w:right w:val="single" w:color="000000" w:sz="4" w:space="0"/>
            </w:tcBorders>
          </w:tcPr>
          <w:p w14:paraId="5FDBEA16">
            <w:pPr>
              <w:rPr>
                <w:highlight w:val="none"/>
              </w:rPr>
            </w:pPr>
          </w:p>
        </w:tc>
        <w:tc>
          <w:tcPr>
            <w:tcW w:w="3597" w:type="dxa"/>
            <w:tcBorders>
              <w:top w:val="nil"/>
              <w:left w:val="nil"/>
              <w:bottom w:val="single" w:color="000000" w:sz="4" w:space="0"/>
              <w:right w:val="single" w:color="000000" w:sz="4" w:space="0"/>
            </w:tcBorders>
            <w:tcMar>
              <w:top w:w="0" w:type="dxa"/>
              <w:left w:w="105" w:type="dxa"/>
              <w:bottom w:w="0" w:type="dxa"/>
              <w:right w:w="105" w:type="dxa"/>
            </w:tcMar>
            <w:vAlign w:val="top"/>
          </w:tcPr>
          <w:p w14:paraId="17A4937C">
            <w:pPr>
              <w:pStyle w:val="4"/>
              <w:jc w:val="center"/>
              <w:rPr>
                <w:highlight w:val="none"/>
              </w:rPr>
            </w:pPr>
            <w:r>
              <w:rPr>
                <w:rFonts w:ascii="仿宋_GB2312" w:hAnsi="仿宋_GB2312" w:eastAsia="仿宋_GB2312" w:cs="仿宋_GB2312"/>
                <w:color w:val="000000"/>
                <w:sz w:val="24"/>
                <w:highlight w:val="none"/>
              </w:rPr>
              <w:t>整体绿化长势良好，树木无死株、无缺株，灌木整体造型雅观，草坪养护良好，无明显杂草，无成片枯萎现象。对死株、缺株的按照要求补植同规格、同品种的树木。</w:t>
            </w:r>
          </w:p>
        </w:tc>
        <w:tc>
          <w:tcPr>
            <w:tcW w:w="19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41AC2776">
            <w:pPr>
              <w:pStyle w:val="4"/>
              <w:jc w:val="center"/>
              <w:rPr>
                <w:highlight w:val="none"/>
              </w:rPr>
            </w:pPr>
            <w:r>
              <w:rPr>
                <w:rFonts w:ascii="仿宋_GB2312" w:hAnsi="仿宋_GB2312" w:eastAsia="仿宋_GB2312" w:cs="仿宋_GB2312"/>
                <w:color w:val="000000"/>
                <w:sz w:val="24"/>
                <w:highlight w:val="none"/>
              </w:rPr>
              <w:t>不符合一项扣0.5分，扣完为止。</w:t>
            </w:r>
          </w:p>
        </w:tc>
        <w:tc>
          <w:tcPr>
            <w:tcW w:w="7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2BF023DE">
            <w:pPr>
              <w:pStyle w:val="4"/>
              <w:jc w:val="center"/>
              <w:rPr>
                <w:highlight w:val="none"/>
              </w:rPr>
            </w:pPr>
            <w:r>
              <w:rPr>
                <w:rFonts w:ascii="仿宋_GB2312" w:hAnsi="仿宋_GB2312" w:eastAsia="仿宋_GB2312" w:cs="仿宋_GB2312"/>
                <w:color w:val="000000"/>
                <w:sz w:val="24"/>
                <w:highlight w:val="none"/>
              </w:rPr>
              <w:t>4</w:t>
            </w:r>
          </w:p>
        </w:tc>
        <w:tc>
          <w:tcPr>
            <w:tcW w:w="555" w:type="dxa"/>
            <w:tcBorders>
              <w:top w:val="nil"/>
              <w:left w:val="nil"/>
              <w:bottom w:val="single" w:color="000000" w:sz="4" w:space="0"/>
              <w:right w:val="single" w:color="000000" w:sz="4" w:space="0"/>
            </w:tcBorders>
            <w:tcMar>
              <w:top w:w="0" w:type="dxa"/>
              <w:left w:w="105" w:type="dxa"/>
              <w:bottom w:w="0" w:type="dxa"/>
              <w:right w:w="105" w:type="dxa"/>
            </w:tcMar>
            <w:vAlign w:val="top"/>
          </w:tcPr>
          <w:p w14:paraId="03EDB6AE">
            <w:pPr>
              <w:pStyle w:val="4"/>
              <w:jc w:val="center"/>
              <w:rPr>
                <w:highlight w:val="none"/>
              </w:rPr>
            </w:pPr>
          </w:p>
        </w:tc>
      </w:tr>
      <w:tr w14:paraId="0C45DD6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8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0DF8A6F1">
            <w:pPr>
              <w:pStyle w:val="4"/>
              <w:jc w:val="center"/>
              <w:rPr>
                <w:highlight w:val="none"/>
              </w:rPr>
            </w:pPr>
            <w:r>
              <w:rPr>
                <w:rFonts w:ascii="仿宋_GB2312" w:hAnsi="仿宋_GB2312" w:eastAsia="仿宋_GB2312" w:cs="仿宋_GB2312"/>
                <w:color w:val="000000"/>
                <w:sz w:val="24"/>
                <w:highlight w:val="none"/>
              </w:rPr>
              <w:t>17</w:t>
            </w:r>
          </w:p>
        </w:tc>
        <w:tc>
          <w:tcPr>
            <w:tcW w:w="906" w:type="dxa"/>
            <w:vMerge w:val="restart"/>
            <w:tcBorders>
              <w:top w:val="nil"/>
              <w:left w:val="nil"/>
              <w:bottom w:val="single" w:color="000000" w:sz="4" w:space="0"/>
              <w:right w:val="single" w:color="000000" w:sz="4" w:space="0"/>
            </w:tcBorders>
            <w:tcMar>
              <w:top w:w="0" w:type="dxa"/>
              <w:left w:w="105" w:type="dxa"/>
              <w:bottom w:w="0" w:type="dxa"/>
              <w:right w:w="105" w:type="dxa"/>
            </w:tcMar>
            <w:vAlign w:val="top"/>
          </w:tcPr>
          <w:p w14:paraId="2E10371E">
            <w:pPr>
              <w:pStyle w:val="4"/>
              <w:jc w:val="center"/>
              <w:rPr>
                <w:highlight w:val="none"/>
              </w:rPr>
            </w:pPr>
            <w:r>
              <w:rPr>
                <w:rFonts w:ascii="仿宋_GB2312" w:hAnsi="仿宋_GB2312" w:eastAsia="仿宋_GB2312" w:cs="仿宋_GB2312"/>
                <w:color w:val="000000"/>
                <w:sz w:val="24"/>
                <w:highlight w:val="none"/>
              </w:rPr>
              <w:t>学生宿舍楼宇管理（16分）</w:t>
            </w:r>
          </w:p>
        </w:tc>
        <w:tc>
          <w:tcPr>
            <w:tcW w:w="3597" w:type="dxa"/>
            <w:tcBorders>
              <w:top w:val="nil"/>
              <w:left w:val="nil"/>
              <w:bottom w:val="single" w:color="000000" w:sz="4" w:space="0"/>
              <w:right w:val="single" w:color="000000" w:sz="4" w:space="0"/>
            </w:tcBorders>
            <w:tcMar>
              <w:top w:w="0" w:type="dxa"/>
              <w:left w:w="105" w:type="dxa"/>
              <w:bottom w:w="0" w:type="dxa"/>
              <w:right w:w="105" w:type="dxa"/>
            </w:tcMar>
            <w:vAlign w:val="top"/>
          </w:tcPr>
          <w:p w14:paraId="482D7A1E">
            <w:pPr>
              <w:pStyle w:val="4"/>
              <w:jc w:val="center"/>
              <w:rPr>
                <w:highlight w:val="none"/>
              </w:rPr>
            </w:pPr>
            <w:r>
              <w:rPr>
                <w:rFonts w:ascii="仿宋_GB2312" w:hAnsi="仿宋_GB2312" w:eastAsia="仿宋_GB2312" w:cs="仿宋_GB2312"/>
                <w:color w:val="000000"/>
                <w:sz w:val="24"/>
                <w:highlight w:val="none"/>
              </w:rPr>
              <w:t>学生宿舍楼实行24小时有人值守，管理员要在服务台或指定位置值班，工作时间不得缺岗、离岗、串岗、娱乐、聊天、睡觉，不得从事任何与工作无关的事情。</w:t>
            </w:r>
          </w:p>
        </w:tc>
        <w:tc>
          <w:tcPr>
            <w:tcW w:w="19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40E99830">
            <w:pPr>
              <w:pStyle w:val="4"/>
              <w:jc w:val="center"/>
              <w:rPr>
                <w:highlight w:val="none"/>
              </w:rPr>
            </w:pPr>
            <w:r>
              <w:rPr>
                <w:rFonts w:ascii="仿宋_GB2312" w:hAnsi="仿宋_GB2312" w:eastAsia="仿宋_GB2312" w:cs="仿宋_GB2312"/>
                <w:color w:val="000000"/>
                <w:sz w:val="24"/>
                <w:highlight w:val="none"/>
              </w:rPr>
              <w:t>不符合一项扣0.5分，扣完为止。</w:t>
            </w:r>
          </w:p>
        </w:tc>
        <w:tc>
          <w:tcPr>
            <w:tcW w:w="7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2190EDA3">
            <w:pPr>
              <w:pStyle w:val="4"/>
              <w:jc w:val="center"/>
              <w:rPr>
                <w:highlight w:val="none"/>
              </w:rPr>
            </w:pPr>
            <w:r>
              <w:rPr>
                <w:rFonts w:ascii="仿宋_GB2312" w:hAnsi="仿宋_GB2312" w:eastAsia="仿宋_GB2312" w:cs="仿宋_GB2312"/>
                <w:color w:val="000000"/>
                <w:sz w:val="24"/>
                <w:highlight w:val="none"/>
              </w:rPr>
              <w:t>4</w:t>
            </w:r>
          </w:p>
        </w:tc>
        <w:tc>
          <w:tcPr>
            <w:tcW w:w="555" w:type="dxa"/>
            <w:tcBorders>
              <w:top w:val="nil"/>
              <w:left w:val="nil"/>
              <w:bottom w:val="single" w:color="000000" w:sz="4" w:space="0"/>
              <w:right w:val="single" w:color="000000" w:sz="4" w:space="0"/>
            </w:tcBorders>
            <w:tcMar>
              <w:top w:w="0" w:type="dxa"/>
              <w:left w:w="105" w:type="dxa"/>
              <w:bottom w:w="0" w:type="dxa"/>
              <w:right w:w="105" w:type="dxa"/>
            </w:tcMar>
            <w:vAlign w:val="top"/>
          </w:tcPr>
          <w:p w14:paraId="43F2315F">
            <w:pPr>
              <w:pStyle w:val="4"/>
              <w:jc w:val="center"/>
              <w:rPr>
                <w:highlight w:val="none"/>
              </w:rPr>
            </w:pPr>
          </w:p>
        </w:tc>
      </w:tr>
      <w:tr w14:paraId="5E9AF08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8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07BC747">
            <w:pPr>
              <w:pStyle w:val="4"/>
              <w:jc w:val="center"/>
              <w:rPr>
                <w:highlight w:val="none"/>
              </w:rPr>
            </w:pPr>
            <w:r>
              <w:rPr>
                <w:rFonts w:ascii="仿宋_GB2312" w:hAnsi="仿宋_GB2312" w:eastAsia="仿宋_GB2312" w:cs="仿宋_GB2312"/>
                <w:color w:val="000000"/>
                <w:sz w:val="24"/>
                <w:highlight w:val="none"/>
              </w:rPr>
              <w:t>18</w:t>
            </w:r>
          </w:p>
        </w:tc>
        <w:tc>
          <w:tcPr>
            <w:tcW w:w="906" w:type="dxa"/>
            <w:vMerge w:val="continue"/>
            <w:tcBorders>
              <w:top w:val="nil"/>
              <w:left w:val="nil"/>
              <w:bottom w:val="single" w:color="000000" w:sz="4" w:space="0"/>
              <w:right w:val="single" w:color="000000" w:sz="4" w:space="0"/>
            </w:tcBorders>
          </w:tcPr>
          <w:p w14:paraId="567F4284">
            <w:pPr>
              <w:rPr>
                <w:highlight w:val="none"/>
              </w:rPr>
            </w:pPr>
          </w:p>
        </w:tc>
        <w:tc>
          <w:tcPr>
            <w:tcW w:w="3597" w:type="dxa"/>
            <w:tcBorders>
              <w:top w:val="nil"/>
              <w:left w:val="nil"/>
              <w:bottom w:val="single" w:color="000000" w:sz="4" w:space="0"/>
              <w:right w:val="single" w:color="000000" w:sz="4" w:space="0"/>
            </w:tcBorders>
            <w:tcMar>
              <w:top w:w="0" w:type="dxa"/>
              <w:left w:w="105" w:type="dxa"/>
              <w:bottom w:w="0" w:type="dxa"/>
              <w:right w:w="105" w:type="dxa"/>
            </w:tcMar>
            <w:vAlign w:val="top"/>
          </w:tcPr>
          <w:p w14:paraId="1392BC52">
            <w:pPr>
              <w:pStyle w:val="4"/>
              <w:jc w:val="center"/>
              <w:rPr>
                <w:highlight w:val="none"/>
              </w:rPr>
            </w:pPr>
            <w:r>
              <w:rPr>
                <w:rFonts w:ascii="仿宋_GB2312" w:hAnsi="仿宋_GB2312" w:eastAsia="仿宋_GB2312" w:cs="仿宋_GB2312"/>
                <w:color w:val="000000"/>
                <w:sz w:val="24"/>
                <w:highlight w:val="none"/>
              </w:rPr>
              <w:t>学生同性亲友来访，学生当面登记后方可进入（异性亲友不得进入学生宿舍）；严禁推销人员和商贩进入宿舍叫卖，禁止学生在宿舍开展商业活动；宿舍管理员须对带出宿舍的大件物品进行检查和登记。禁止外来送餐及货物配送人员进入学生宿舍楼栋内。</w:t>
            </w:r>
          </w:p>
        </w:tc>
        <w:tc>
          <w:tcPr>
            <w:tcW w:w="19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1BEF86E9">
            <w:pPr>
              <w:pStyle w:val="4"/>
              <w:jc w:val="center"/>
              <w:rPr>
                <w:highlight w:val="none"/>
              </w:rPr>
            </w:pPr>
            <w:r>
              <w:rPr>
                <w:rFonts w:ascii="仿宋_GB2312" w:hAnsi="仿宋_GB2312" w:eastAsia="仿宋_GB2312" w:cs="仿宋_GB2312"/>
                <w:color w:val="000000"/>
                <w:sz w:val="24"/>
                <w:highlight w:val="none"/>
              </w:rPr>
              <w:t>不符合一项扣0.5分，扣完为止。</w:t>
            </w:r>
          </w:p>
        </w:tc>
        <w:tc>
          <w:tcPr>
            <w:tcW w:w="7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17C11CE7">
            <w:pPr>
              <w:pStyle w:val="4"/>
              <w:jc w:val="center"/>
              <w:rPr>
                <w:highlight w:val="none"/>
              </w:rPr>
            </w:pPr>
            <w:r>
              <w:rPr>
                <w:rFonts w:ascii="仿宋_GB2312" w:hAnsi="仿宋_GB2312" w:eastAsia="仿宋_GB2312" w:cs="仿宋_GB2312"/>
                <w:color w:val="000000"/>
                <w:sz w:val="24"/>
                <w:highlight w:val="none"/>
              </w:rPr>
              <w:t>4</w:t>
            </w:r>
          </w:p>
        </w:tc>
        <w:tc>
          <w:tcPr>
            <w:tcW w:w="555" w:type="dxa"/>
            <w:tcBorders>
              <w:top w:val="nil"/>
              <w:left w:val="nil"/>
              <w:bottom w:val="single" w:color="000000" w:sz="4" w:space="0"/>
              <w:right w:val="single" w:color="000000" w:sz="4" w:space="0"/>
            </w:tcBorders>
            <w:tcMar>
              <w:top w:w="0" w:type="dxa"/>
              <w:left w:w="105" w:type="dxa"/>
              <w:bottom w:w="0" w:type="dxa"/>
              <w:right w:w="105" w:type="dxa"/>
            </w:tcMar>
            <w:vAlign w:val="top"/>
          </w:tcPr>
          <w:p w14:paraId="06C3A0F7">
            <w:pPr>
              <w:pStyle w:val="4"/>
              <w:jc w:val="center"/>
              <w:rPr>
                <w:highlight w:val="none"/>
              </w:rPr>
            </w:pPr>
          </w:p>
        </w:tc>
      </w:tr>
      <w:tr w14:paraId="4F4C537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8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5DBB8FA">
            <w:pPr>
              <w:pStyle w:val="4"/>
              <w:jc w:val="center"/>
              <w:rPr>
                <w:highlight w:val="none"/>
              </w:rPr>
            </w:pPr>
            <w:r>
              <w:rPr>
                <w:rFonts w:ascii="仿宋_GB2312" w:hAnsi="仿宋_GB2312" w:eastAsia="仿宋_GB2312" w:cs="仿宋_GB2312"/>
                <w:color w:val="000000"/>
                <w:sz w:val="24"/>
                <w:highlight w:val="none"/>
              </w:rPr>
              <w:t>19</w:t>
            </w:r>
          </w:p>
        </w:tc>
        <w:tc>
          <w:tcPr>
            <w:tcW w:w="906" w:type="dxa"/>
            <w:vMerge w:val="continue"/>
            <w:tcBorders>
              <w:top w:val="nil"/>
              <w:left w:val="nil"/>
              <w:bottom w:val="single" w:color="000000" w:sz="4" w:space="0"/>
              <w:right w:val="single" w:color="000000" w:sz="4" w:space="0"/>
            </w:tcBorders>
          </w:tcPr>
          <w:p w14:paraId="10A55FA7">
            <w:pPr>
              <w:rPr>
                <w:highlight w:val="none"/>
              </w:rPr>
            </w:pPr>
          </w:p>
        </w:tc>
        <w:tc>
          <w:tcPr>
            <w:tcW w:w="3597" w:type="dxa"/>
            <w:tcBorders>
              <w:top w:val="nil"/>
              <w:left w:val="nil"/>
              <w:bottom w:val="single" w:color="000000" w:sz="4" w:space="0"/>
              <w:right w:val="single" w:color="000000" w:sz="4" w:space="0"/>
            </w:tcBorders>
            <w:tcMar>
              <w:top w:w="0" w:type="dxa"/>
              <w:left w:w="105" w:type="dxa"/>
              <w:bottom w:w="0" w:type="dxa"/>
              <w:right w:w="105" w:type="dxa"/>
            </w:tcMar>
            <w:vAlign w:val="top"/>
          </w:tcPr>
          <w:p w14:paraId="7E629A66">
            <w:pPr>
              <w:pStyle w:val="4"/>
              <w:jc w:val="center"/>
              <w:rPr>
                <w:highlight w:val="none"/>
              </w:rPr>
            </w:pPr>
            <w:r>
              <w:rPr>
                <w:rFonts w:ascii="仿宋_GB2312" w:hAnsi="仿宋_GB2312" w:eastAsia="仿宋_GB2312" w:cs="仿宋_GB2312"/>
                <w:color w:val="000000"/>
                <w:sz w:val="24"/>
                <w:highlight w:val="none"/>
              </w:rPr>
              <w:t>宿舍钥匙管理到位，无学生私自跟换门锁或增加挂锁情况。钥匙由专人保管，原则上不得借给学生使用。特殊情况下学生借用钥匙必须经审批，并抵押借用人有效证件，经认真核实、详细登记后方可借出，并应及时索还；突发紧急情况、涉及生命财产安全等情况下，管理人员应能第一时间准确提供所需钥匙，事后应及时办理登记手续；其他情况一律不得借出。</w:t>
            </w:r>
          </w:p>
        </w:tc>
        <w:tc>
          <w:tcPr>
            <w:tcW w:w="19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08BD6FBF">
            <w:pPr>
              <w:pStyle w:val="4"/>
              <w:jc w:val="center"/>
              <w:rPr>
                <w:highlight w:val="none"/>
              </w:rPr>
            </w:pPr>
            <w:r>
              <w:rPr>
                <w:rFonts w:ascii="仿宋_GB2312" w:hAnsi="仿宋_GB2312" w:eastAsia="仿宋_GB2312" w:cs="仿宋_GB2312"/>
                <w:color w:val="000000"/>
                <w:sz w:val="24"/>
                <w:highlight w:val="none"/>
              </w:rPr>
              <w:t>不符合一项扣0.5分，扣完为止。</w:t>
            </w:r>
          </w:p>
        </w:tc>
        <w:tc>
          <w:tcPr>
            <w:tcW w:w="7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4F375B37">
            <w:pPr>
              <w:pStyle w:val="4"/>
              <w:jc w:val="center"/>
              <w:rPr>
                <w:highlight w:val="none"/>
              </w:rPr>
            </w:pPr>
            <w:r>
              <w:rPr>
                <w:rFonts w:ascii="仿宋_GB2312" w:hAnsi="仿宋_GB2312" w:eastAsia="仿宋_GB2312" w:cs="仿宋_GB2312"/>
                <w:color w:val="000000"/>
                <w:sz w:val="24"/>
                <w:highlight w:val="none"/>
              </w:rPr>
              <w:t>4</w:t>
            </w:r>
          </w:p>
        </w:tc>
        <w:tc>
          <w:tcPr>
            <w:tcW w:w="555" w:type="dxa"/>
            <w:tcBorders>
              <w:top w:val="nil"/>
              <w:left w:val="nil"/>
              <w:bottom w:val="single" w:color="000000" w:sz="4" w:space="0"/>
              <w:right w:val="single" w:color="000000" w:sz="4" w:space="0"/>
            </w:tcBorders>
            <w:tcMar>
              <w:top w:w="0" w:type="dxa"/>
              <w:left w:w="105" w:type="dxa"/>
              <w:bottom w:w="0" w:type="dxa"/>
              <w:right w:w="105" w:type="dxa"/>
            </w:tcMar>
            <w:vAlign w:val="top"/>
          </w:tcPr>
          <w:p w14:paraId="3EC8453E">
            <w:pPr>
              <w:pStyle w:val="4"/>
              <w:jc w:val="center"/>
              <w:rPr>
                <w:highlight w:val="none"/>
              </w:rPr>
            </w:pPr>
          </w:p>
        </w:tc>
      </w:tr>
      <w:tr w14:paraId="7CEFC12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8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04F28A2A">
            <w:pPr>
              <w:pStyle w:val="4"/>
              <w:jc w:val="center"/>
              <w:rPr>
                <w:highlight w:val="none"/>
              </w:rPr>
            </w:pPr>
            <w:r>
              <w:rPr>
                <w:rFonts w:ascii="仿宋_GB2312" w:hAnsi="仿宋_GB2312" w:eastAsia="仿宋_GB2312" w:cs="仿宋_GB2312"/>
                <w:color w:val="000000"/>
                <w:sz w:val="24"/>
                <w:highlight w:val="none"/>
              </w:rPr>
              <w:t>20</w:t>
            </w:r>
          </w:p>
        </w:tc>
        <w:tc>
          <w:tcPr>
            <w:tcW w:w="906" w:type="dxa"/>
            <w:vMerge w:val="continue"/>
            <w:tcBorders>
              <w:top w:val="nil"/>
              <w:left w:val="nil"/>
              <w:bottom w:val="single" w:color="000000" w:sz="4" w:space="0"/>
              <w:right w:val="single" w:color="000000" w:sz="4" w:space="0"/>
            </w:tcBorders>
          </w:tcPr>
          <w:p w14:paraId="30439EFA">
            <w:pPr>
              <w:rPr>
                <w:highlight w:val="none"/>
              </w:rPr>
            </w:pPr>
          </w:p>
        </w:tc>
        <w:tc>
          <w:tcPr>
            <w:tcW w:w="3597" w:type="dxa"/>
            <w:tcBorders>
              <w:top w:val="nil"/>
              <w:left w:val="nil"/>
              <w:bottom w:val="single" w:color="000000" w:sz="4" w:space="0"/>
              <w:right w:val="single" w:color="000000" w:sz="4" w:space="0"/>
            </w:tcBorders>
            <w:tcMar>
              <w:top w:w="0" w:type="dxa"/>
              <w:left w:w="105" w:type="dxa"/>
              <w:bottom w:w="0" w:type="dxa"/>
              <w:right w:w="105" w:type="dxa"/>
            </w:tcMar>
            <w:vAlign w:val="top"/>
          </w:tcPr>
          <w:p w14:paraId="4C4F3130">
            <w:pPr>
              <w:pStyle w:val="4"/>
              <w:jc w:val="both"/>
              <w:rPr>
                <w:highlight w:val="none"/>
              </w:rPr>
            </w:pPr>
            <w:r>
              <w:rPr>
                <w:rFonts w:ascii="仿宋_GB2312" w:hAnsi="仿宋_GB2312" w:eastAsia="仿宋_GB2312" w:cs="仿宋_GB2312"/>
                <w:color w:val="000000"/>
                <w:sz w:val="24"/>
                <w:highlight w:val="none"/>
              </w:rPr>
              <w:t>加强安全管理。切实加强防火防盗。发现不安全因素及时处理并报告安全保卫处；严格检查学生违章用电，私拉乱接电线；发现问题及时处理，上报（报告部门：所在系部、学生管理处、安全保卫处），并做好记录；严格检查学生违章使用电器（电炉，电火锅，电饭锅，电热杯等），一经发现，收缴物品并做好记录，对不听劝阻的学生及时报告学生管理处；非本公寓人员（除有关工作人员）不得入内，对不听劝阻的，或紧急情况可及时报告学生管理处、安全保卫处和主管领导。</w:t>
            </w:r>
          </w:p>
        </w:tc>
        <w:tc>
          <w:tcPr>
            <w:tcW w:w="19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05C95CC6">
            <w:pPr>
              <w:pStyle w:val="4"/>
              <w:jc w:val="center"/>
              <w:rPr>
                <w:highlight w:val="none"/>
              </w:rPr>
            </w:pPr>
            <w:r>
              <w:rPr>
                <w:rFonts w:ascii="仿宋_GB2312" w:hAnsi="仿宋_GB2312" w:eastAsia="仿宋_GB2312" w:cs="仿宋_GB2312"/>
                <w:color w:val="000000"/>
                <w:sz w:val="24"/>
                <w:highlight w:val="none"/>
              </w:rPr>
              <w:t>不符合一项扣0.5分，扣完为止。</w:t>
            </w:r>
          </w:p>
        </w:tc>
        <w:tc>
          <w:tcPr>
            <w:tcW w:w="7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2D42121C">
            <w:pPr>
              <w:pStyle w:val="4"/>
              <w:jc w:val="center"/>
              <w:rPr>
                <w:highlight w:val="none"/>
              </w:rPr>
            </w:pPr>
            <w:r>
              <w:rPr>
                <w:rFonts w:ascii="仿宋_GB2312" w:hAnsi="仿宋_GB2312" w:eastAsia="仿宋_GB2312" w:cs="仿宋_GB2312"/>
                <w:color w:val="000000"/>
                <w:sz w:val="24"/>
                <w:highlight w:val="none"/>
              </w:rPr>
              <w:t>4</w:t>
            </w:r>
          </w:p>
        </w:tc>
        <w:tc>
          <w:tcPr>
            <w:tcW w:w="555" w:type="dxa"/>
            <w:tcBorders>
              <w:top w:val="nil"/>
              <w:left w:val="nil"/>
              <w:bottom w:val="single" w:color="000000" w:sz="4" w:space="0"/>
              <w:right w:val="single" w:color="000000" w:sz="4" w:space="0"/>
            </w:tcBorders>
            <w:tcMar>
              <w:top w:w="0" w:type="dxa"/>
              <w:left w:w="105" w:type="dxa"/>
              <w:bottom w:w="0" w:type="dxa"/>
              <w:right w:w="105" w:type="dxa"/>
            </w:tcMar>
            <w:vAlign w:val="top"/>
          </w:tcPr>
          <w:p w14:paraId="1E244F39">
            <w:pPr>
              <w:pStyle w:val="4"/>
              <w:jc w:val="center"/>
              <w:rPr>
                <w:highlight w:val="none"/>
              </w:rPr>
            </w:pPr>
          </w:p>
        </w:tc>
      </w:tr>
      <w:tr w14:paraId="3F3F33B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8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42B99484">
            <w:pPr>
              <w:pStyle w:val="4"/>
              <w:jc w:val="center"/>
              <w:rPr>
                <w:highlight w:val="none"/>
              </w:rPr>
            </w:pPr>
            <w:r>
              <w:rPr>
                <w:rFonts w:ascii="仿宋_GB2312" w:hAnsi="仿宋_GB2312" w:eastAsia="仿宋_GB2312" w:cs="仿宋_GB2312"/>
                <w:color w:val="000000"/>
                <w:sz w:val="24"/>
                <w:highlight w:val="none"/>
              </w:rPr>
              <w:t>21</w:t>
            </w:r>
          </w:p>
        </w:tc>
        <w:tc>
          <w:tcPr>
            <w:tcW w:w="906" w:type="dxa"/>
            <w:vMerge w:val="restart"/>
            <w:tcBorders>
              <w:top w:val="nil"/>
              <w:left w:val="nil"/>
              <w:bottom w:val="single" w:color="000000" w:sz="4" w:space="0"/>
              <w:right w:val="single" w:color="000000" w:sz="4" w:space="0"/>
            </w:tcBorders>
            <w:tcMar>
              <w:top w:w="0" w:type="dxa"/>
              <w:left w:w="105" w:type="dxa"/>
              <w:bottom w:w="0" w:type="dxa"/>
              <w:right w:w="105" w:type="dxa"/>
            </w:tcMar>
            <w:vAlign w:val="top"/>
          </w:tcPr>
          <w:p w14:paraId="14432678">
            <w:pPr>
              <w:pStyle w:val="4"/>
              <w:jc w:val="center"/>
              <w:rPr>
                <w:highlight w:val="none"/>
              </w:rPr>
            </w:pPr>
            <w:r>
              <w:rPr>
                <w:rFonts w:ascii="仿宋_GB2312" w:hAnsi="仿宋_GB2312" w:eastAsia="仿宋_GB2312" w:cs="仿宋_GB2312"/>
                <w:color w:val="000000"/>
                <w:sz w:val="24"/>
                <w:highlight w:val="none"/>
              </w:rPr>
              <w:t>工程维修管理（20分）</w:t>
            </w:r>
          </w:p>
        </w:tc>
        <w:tc>
          <w:tcPr>
            <w:tcW w:w="3597" w:type="dxa"/>
            <w:tcBorders>
              <w:top w:val="nil"/>
              <w:left w:val="nil"/>
              <w:bottom w:val="single" w:color="000000" w:sz="4" w:space="0"/>
              <w:right w:val="single" w:color="000000" w:sz="4" w:space="0"/>
            </w:tcBorders>
            <w:tcMar>
              <w:top w:w="0" w:type="dxa"/>
              <w:left w:w="105" w:type="dxa"/>
              <w:bottom w:w="0" w:type="dxa"/>
              <w:right w:w="105" w:type="dxa"/>
            </w:tcMar>
            <w:vAlign w:val="top"/>
          </w:tcPr>
          <w:p w14:paraId="1D66E370">
            <w:pPr>
              <w:pStyle w:val="4"/>
              <w:jc w:val="center"/>
              <w:rPr>
                <w:highlight w:val="none"/>
              </w:rPr>
            </w:pPr>
            <w:r>
              <w:rPr>
                <w:rFonts w:ascii="仿宋_GB2312" w:hAnsi="仿宋_GB2312" w:eastAsia="仿宋_GB2312" w:cs="仿宋_GB2312"/>
                <w:color w:val="000000"/>
                <w:sz w:val="24"/>
                <w:highlight w:val="none"/>
              </w:rPr>
              <w:t>停水、停电、自然灾害等各种突发状况的应急处置。</w:t>
            </w:r>
          </w:p>
        </w:tc>
        <w:tc>
          <w:tcPr>
            <w:tcW w:w="19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302C4E65">
            <w:pPr>
              <w:pStyle w:val="4"/>
              <w:jc w:val="center"/>
              <w:rPr>
                <w:highlight w:val="none"/>
              </w:rPr>
            </w:pPr>
            <w:r>
              <w:rPr>
                <w:rFonts w:ascii="仿宋_GB2312" w:hAnsi="仿宋_GB2312" w:eastAsia="仿宋_GB2312" w:cs="仿宋_GB2312"/>
                <w:color w:val="000000"/>
                <w:sz w:val="24"/>
                <w:highlight w:val="none"/>
              </w:rPr>
              <w:t>不符合一项扣0.5分，扣完为止。</w:t>
            </w:r>
          </w:p>
        </w:tc>
        <w:tc>
          <w:tcPr>
            <w:tcW w:w="7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5FBBCC6E">
            <w:pPr>
              <w:pStyle w:val="4"/>
              <w:jc w:val="center"/>
              <w:rPr>
                <w:highlight w:val="none"/>
              </w:rPr>
            </w:pPr>
            <w:r>
              <w:rPr>
                <w:rFonts w:ascii="仿宋_GB2312" w:hAnsi="仿宋_GB2312" w:eastAsia="仿宋_GB2312" w:cs="仿宋_GB2312"/>
                <w:color w:val="000000"/>
                <w:sz w:val="24"/>
                <w:highlight w:val="none"/>
              </w:rPr>
              <w:t>4</w:t>
            </w:r>
          </w:p>
        </w:tc>
        <w:tc>
          <w:tcPr>
            <w:tcW w:w="555" w:type="dxa"/>
            <w:tcBorders>
              <w:top w:val="nil"/>
              <w:left w:val="nil"/>
              <w:bottom w:val="single" w:color="000000" w:sz="4" w:space="0"/>
              <w:right w:val="single" w:color="000000" w:sz="4" w:space="0"/>
            </w:tcBorders>
            <w:tcMar>
              <w:top w:w="0" w:type="dxa"/>
              <w:left w:w="105" w:type="dxa"/>
              <w:bottom w:w="0" w:type="dxa"/>
              <w:right w:w="105" w:type="dxa"/>
            </w:tcMar>
            <w:vAlign w:val="top"/>
          </w:tcPr>
          <w:p w14:paraId="1E4C9372">
            <w:pPr>
              <w:pStyle w:val="4"/>
              <w:jc w:val="center"/>
              <w:rPr>
                <w:highlight w:val="none"/>
              </w:rPr>
            </w:pPr>
          </w:p>
        </w:tc>
      </w:tr>
      <w:tr w14:paraId="71ADFB3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8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409DBAFA">
            <w:pPr>
              <w:pStyle w:val="4"/>
              <w:jc w:val="center"/>
              <w:rPr>
                <w:highlight w:val="none"/>
              </w:rPr>
            </w:pPr>
            <w:r>
              <w:rPr>
                <w:rFonts w:ascii="仿宋_GB2312" w:hAnsi="仿宋_GB2312" w:eastAsia="仿宋_GB2312" w:cs="仿宋_GB2312"/>
                <w:color w:val="000000"/>
                <w:sz w:val="24"/>
                <w:highlight w:val="none"/>
              </w:rPr>
              <w:t>22</w:t>
            </w:r>
          </w:p>
        </w:tc>
        <w:tc>
          <w:tcPr>
            <w:tcW w:w="906" w:type="dxa"/>
            <w:vMerge w:val="continue"/>
            <w:tcBorders>
              <w:top w:val="nil"/>
              <w:left w:val="nil"/>
              <w:bottom w:val="single" w:color="000000" w:sz="4" w:space="0"/>
              <w:right w:val="single" w:color="000000" w:sz="4" w:space="0"/>
            </w:tcBorders>
          </w:tcPr>
          <w:p w14:paraId="3CC737BC">
            <w:pPr>
              <w:rPr>
                <w:highlight w:val="none"/>
              </w:rPr>
            </w:pPr>
          </w:p>
        </w:tc>
        <w:tc>
          <w:tcPr>
            <w:tcW w:w="3597" w:type="dxa"/>
            <w:tcBorders>
              <w:top w:val="nil"/>
              <w:left w:val="nil"/>
              <w:bottom w:val="single" w:color="000000" w:sz="4" w:space="0"/>
              <w:right w:val="single" w:color="000000" w:sz="4" w:space="0"/>
            </w:tcBorders>
            <w:tcMar>
              <w:top w:w="0" w:type="dxa"/>
              <w:left w:w="105" w:type="dxa"/>
              <w:bottom w:w="0" w:type="dxa"/>
              <w:right w:w="105" w:type="dxa"/>
            </w:tcMar>
            <w:vAlign w:val="top"/>
          </w:tcPr>
          <w:p w14:paraId="2DAF5358">
            <w:pPr>
              <w:pStyle w:val="4"/>
              <w:jc w:val="center"/>
              <w:rPr>
                <w:highlight w:val="none"/>
              </w:rPr>
            </w:pPr>
            <w:r>
              <w:rPr>
                <w:rFonts w:ascii="仿宋_GB2312" w:hAnsi="仿宋_GB2312" w:eastAsia="仿宋_GB2312" w:cs="仿宋_GB2312"/>
                <w:color w:val="000000"/>
                <w:sz w:val="24"/>
                <w:highlight w:val="none"/>
              </w:rPr>
              <w:t>做到维修及时、快速，紧急维修响应不超过半小时，小型维修不过夜，专项维修不超过 24 小时，无法及时解决的应在解决时限前及时反馈，无法解决或大范围故障应及时通知管理部门，由管理部门根据实际制定计划后由由物业公司具体实施。</w:t>
            </w:r>
          </w:p>
        </w:tc>
        <w:tc>
          <w:tcPr>
            <w:tcW w:w="19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4C3C676D">
            <w:pPr>
              <w:pStyle w:val="4"/>
              <w:jc w:val="center"/>
              <w:rPr>
                <w:highlight w:val="none"/>
              </w:rPr>
            </w:pPr>
            <w:r>
              <w:rPr>
                <w:rFonts w:ascii="仿宋_GB2312" w:hAnsi="仿宋_GB2312" w:eastAsia="仿宋_GB2312" w:cs="仿宋_GB2312"/>
                <w:color w:val="000000"/>
                <w:sz w:val="24"/>
                <w:highlight w:val="none"/>
              </w:rPr>
              <w:t>不符合一项扣0.5分，扣完为止。</w:t>
            </w:r>
          </w:p>
        </w:tc>
        <w:tc>
          <w:tcPr>
            <w:tcW w:w="7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7D464DEE">
            <w:pPr>
              <w:pStyle w:val="4"/>
              <w:jc w:val="center"/>
              <w:rPr>
                <w:highlight w:val="none"/>
              </w:rPr>
            </w:pPr>
            <w:r>
              <w:rPr>
                <w:rFonts w:ascii="仿宋_GB2312" w:hAnsi="仿宋_GB2312" w:eastAsia="仿宋_GB2312" w:cs="仿宋_GB2312"/>
                <w:color w:val="000000"/>
                <w:sz w:val="24"/>
                <w:highlight w:val="none"/>
              </w:rPr>
              <w:t>4</w:t>
            </w:r>
          </w:p>
        </w:tc>
        <w:tc>
          <w:tcPr>
            <w:tcW w:w="555" w:type="dxa"/>
            <w:tcBorders>
              <w:top w:val="nil"/>
              <w:left w:val="nil"/>
              <w:bottom w:val="single" w:color="000000" w:sz="4" w:space="0"/>
              <w:right w:val="single" w:color="000000" w:sz="4" w:space="0"/>
            </w:tcBorders>
            <w:tcMar>
              <w:top w:w="0" w:type="dxa"/>
              <w:left w:w="105" w:type="dxa"/>
              <w:bottom w:w="0" w:type="dxa"/>
              <w:right w:w="105" w:type="dxa"/>
            </w:tcMar>
            <w:vAlign w:val="top"/>
          </w:tcPr>
          <w:p w14:paraId="59FD99F2">
            <w:pPr>
              <w:pStyle w:val="4"/>
              <w:jc w:val="center"/>
              <w:rPr>
                <w:highlight w:val="none"/>
              </w:rPr>
            </w:pPr>
          </w:p>
        </w:tc>
      </w:tr>
      <w:tr w14:paraId="5B1DAB3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8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2D9A6C4">
            <w:pPr>
              <w:pStyle w:val="4"/>
              <w:jc w:val="center"/>
              <w:rPr>
                <w:highlight w:val="none"/>
              </w:rPr>
            </w:pPr>
            <w:r>
              <w:rPr>
                <w:rFonts w:ascii="仿宋_GB2312" w:hAnsi="仿宋_GB2312" w:eastAsia="仿宋_GB2312" w:cs="仿宋_GB2312"/>
                <w:color w:val="000000"/>
                <w:sz w:val="24"/>
                <w:highlight w:val="none"/>
              </w:rPr>
              <w:t>23</w:t>
            </w:r>
          </w:p>
        </w:tc>
        <w:tc>
          <w:tcPr>
            <w:tcW w:w="906" w:type="dxa"/>
            <w:vMerge w:val="continue"/>
            <w:tcBorders>
              <w:top w:val="nil"/>
              <w:left w:val="nil"/>
              <w:bottom w:val="single" w:color="000000" w:sz="4" w:space="0"/>
              <w:right w:val="single" w:color="000000" w:sz="4" w:space="0"/>
            </w:tcBorders>
          </w:tcPr>
          <w:p w14:paraId="14C3DC90">
            <w:pPr>
              <w:rPr>
                <w:highlight w:val="none"/>
              </w:rPr>
            </w:pPr>
          </w:p>
        </w:tc>
        <w:tc>
          <w:tcPr>
            <w:tcW w:w="3597" w:type="dxa"/>
            <w:tcBorders>
              <w:top w:val="nil"/>
              <w:left w:val="nil"/>
              <w:bottom w:val="single" w:color="000000" w:sz="4" w:space="0"/>
              <w:right w:val="single" w:color="000000" w:sz="4" w:space="0"/>
            </w:tcBorders>
            <w:tcMar>
              <w:top w:w="0" w:type="dxa"/>
              <w:left w:w="105" w:type="dxa"/>
              <w:bottom w:w="0" w:type="dxa"/>
              <w:right w:w="105" w:type="dxa"/>
            </w:tcMar>
            <w:vAlign w:val="top"/>
          </w:tcPr>
          <w:p w14:paraId="568AF3DB">
            <w:pPr>
              <w:pStyle w:val="4"/>
              <w:jc w:val="center"/>
              <w:rPr>
                <w:highlight w:val="none"/>
              </w:rPr>
            </w:pPr>
            <w:r>
              <w:rPr>
                <w:rFonts w:ascii="仿宋_GB2312" w:hAnsi="仿宋_GB2312" w:eastAsia="仿宋_GB2312" w:cs="仿宋_GB2312"/>
                <w:color w:val="000000"/>
                <w:sz w:val="24"/>
                <w:highlight w:val="none"/>
              </w:rPr>
              <w:t>定期清理化粪池和疏通管道，无堵塞、溢出现象情况。</w:t>
            </w:r>
          </w:p>
        </w:tc>
        <w:tc>
          <w:tcPr>
            <w:tcW w:w="19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26D8AF71">
            <w:pPr>
              <w:pStyle w:val="4"/>
              <w:jc w:val="center"/>
              <w:rPr>
                <w:highlight w:val="none"/>
              </w:rPr>
            </w:pPr>
            <w:r>
              <w:rPr>
                <w:rFonts w:ascii="仿宋_GB2312" w:hAnsi="仿宋_GB2312" w:eastAsia="仿宋_GB2312" w:cs="仿宋_GB2312"/>
                <w:color w:val="000000"/>
                <w:sz w:val="24"/>
                <w:highlight w:val="none"/>
              </w:rPr>
              <w:t>不符合一项扣0.5分，扣完为止。</w:t>
            </w:r>
          </w:p>
        </w:tc>
        <w:tc>
          <w:tcPr>
            <w:tcW w:w="7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78F57FB1">
            <w:pPr>
              <w:pStyle w:val="4"/>
              <w:jc w:val="center"/>
              <w:rPr>
                <w:highlight w:val="none"/>
              </w:rPr>
            </w:pPr>
            <w:r>
              <w:rPr>
                <w:rFonts w:ascii="仿宋_GB2312" w:hAnsi="仿宋_GB2312" w:eastAsia="仿宋_GB2312" w:cs="仿宋_GB2312"/>
                <w:color w:val="000000"/>
                <w:sz w:val="24"/>
                <w:highlight w:val="none"/>
              </w:rPr>
              <w:t>4</w:t>
            </w:r>
          </w:p>
        </w:tc>
        <w:tc>
          <w:tcPr>
            <w:tcW w:w="555" w:type="dxa"/>
            <w:tcBorders>
              <w:top w:val="nil"/>
              <w:left w:val="nil"/>
              <w:bottom w:val="single" w:color="000000" w:sz="4" w:space="0"/>
              <w:right w:val="single" w:color="000000" w:sz="4" w:space="0"/>
            </w:tcBorders>
            <w:tcMar>
              <w:top w:w="0" w:type="dxa"/>
              <w:left w:w="105" w:type="dxa"/>
              <w:bottom w:w="0" w:type="dxa"/>
              <w:right w:w="105" w:type="dxa"/>
            </w:tcMar>
            <w:vAlign w:val="top"/>
          </w:tcPr>
          <w:p w14:paraId="0B783CB5">
            <w:pPr>
              <w:pStyle w:val="4"/>
              <w:jc w:val="center"/>
              <w:rPr>
                <w:highlight w:val="none"/>
              </w:rPr>
            </w:pPr>
          </w:p>
        </w:tc>
      </w:tr>
      <w:tr w14:paraId="423ED74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8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C901CBB">
            <w:pPr>
              <w:pStyle w:val="4"/>
              <w:jc w:val="center"/>
              <w:rPr>
                <w:highlight w:val="none"/>
              </w:rPr>
            </w:pPr>
            <w:r>
              <w:rPr>
                <w:rFonts w:ascii="仿宋_GB2312" w:hAnsi="仿宋_GB2312" w:eastAsia="仿宋_GB2312" w:cs="仿宋_GB2312"/>
                <w:color w:val="000000"/>
                <w:sz w:val="24"/>
                <w:highlight w:val="none"/>
              </w:rPr>
              <w:t>24</w:t>
            </w:r>
          </w:p>
        </w:tc>
        <w:tc>
          <w:tcPr>
            <w:tcW w:w="906" w:type="dxa"/>
            <w:vMerge w:val="continue"/>
            <w:tcBorders>
              <w:top w:val="nil"/>
              <w:left w:val="nil"/>
              <w:bottom w:val="single" w:color="000000" w:sz="4" w:space="0"/>
              <w:right w:val="single" w:color="000000" w:sz="4" w:space="0"/>
            </w:tcBorders>
          </w:tcPr>
          <w:p w14:paraId="0B1C84CA">
            <w:pPr>
              <w:rPr>
                <w:highlight w:val="none"/>
              </w:rPr>
            </w:pPr>
          </w:p>
        </w:tc>
        <w:tc>
          <w:tcPr>
            <w:tcW w:w="3597" w:type="dxa"/>
            <w:tcBorders>
              <w:top w:val="nil"/>
              <w:left w:val="nil"/>
              <w:bottom w:val="single" w:color="000000" w:sz="4" w:space="0"/>
              <w:right w:val="single" w:color="000000" w:sz="4" w:space="0"/>
            </w:tcBorders>
            <w:tcMar>
              <w:top w:w="0" w:type="dxa"/>
              <w:left w:w="105" w:type="dxa"/>
              <w:bottom w:w="0" w:type="dxa"/>
              <w:right w:w="105" w:type="dxa"/>
            </w:tcMar>
            <w:vAlign w:val="top"/>
          </w:tcPr>
          <w:p w14:paraId="0A18F51A">
            <w:pPr>
              <w:pStyle w:val="4"/>
              <w:jc w:val="center"/>
              <w:rPr>
                <w:highlight w:val="none"/>
              </w:rPr>
            </w:pPr>
            <w:r>
              <w:rPr>
                <w:rFonts w:ascii="仿宋_GB2312" w:hAnsi="仿宋_GB2312" w:eastAsia="仿宋_GB2312" w:cs="仿宋_GB2312"/>
                <w:color w:val="000000"/>
                <w:sz w:val="24"/>
                <w:highlight w:val="none"/>
              </w:rPr>
              <w:t>设施设备巡检维护：包括电梯、给排水系统、供电系统、排涝系统等巡查检修、确保各项专业设施设备正常运行，并做好相关内业工作。</w:t>
            </w:r>
          </w:p>
        </w:tc>
        <w:tc>
          <w:tcPr>
            <w:tcW w:w="19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1AA5DCBA">
            <w:pPr>
              <w:pStyle w:val="4"/>
              <w:jc w:val="center"/>
              <w:rPr>
                <w:highlight w:val="none"/>
              </w:rPr>
            </w:pPr>
            <w:r>
              <w:rPr>
                <w:rFonts w:ascii="仿宋_GB2312" w:hAnsi="仿宋_GB2312" w:eastAsia="仿宋_GB2312" w:cs="仿宋_GB2312"/>
                <w:color w:val="000000"/>
                <w:sz w:val="24"/>
                <w:highlight w:val="none"/>
              </w:rPr>
              <w:t>不符合一项扣0.5分，扣完为止。</w:t>
            </w:r>
          </w:p>
        </w:tc>
        <w:tc>
          <w:tcPr>
            <w:tcW w:w="7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724044D4">
            <w:pPr>
              <w:pStyle w:val="4"/>
              <w:jc w:val="center"/>
              <w:rPr>
                <w:highlight w:val="none"/>
              </w:rPr>
            </w:pPr>
            <w:r>
              <w:rPr>
                <w:rFonts w:ascii="仿宋_GB2312" w:hAnsi="仿宋_GB2312" w:eastAsia="仿宋_GB2312" w:cs="仿宋_GB2312"/>
                <w:color w:val="000000"/>
                <w:sz w:val="24"/>
                <w:highlight w:val="none"/>
              </w:rPr>
              <w:t>4</w:t>
            </w:r>
          </w:p>
        </w:tc>
        <w:tc>
          <w:tcPr>
            <w:tcW w:w="555" w:type="dxa"/>
            <w:tcBorders>
              <w:top w:val="nil"/>
              <w:left w:val="nil"/>
              <w:bottom w:val="single" w:color="000000" w:sz="4" w:space="0"/>
              <w:right w:val="single" w:color="000000" w:sz="4" w:space="0"/>
            </w:tcBorders>
            <w:tcMar>
              <w:top w:w="0" w:type="dxa"/>
              <w:left w:w="105" w:type="dxa"/>
              <w:bottom w:w="0" w:type="dxa"/>
              <w:right w:w="105" w:type="dxa"/>
            </w:tcMar>
            <w:vAlign w:val="top"/>
          </w:tcPr>
          <w:p w14:paraId="73903D7C">
            <w:pPr>
              <w:pStyle w:val="4"/>
              <w:jc w:val="center"/>
              <w:rPr>
                <w:highlight w:val="none"/>
              </w:rPr>
            </w:pPr>
          </w:p>
        </w:tc>
      </w:tr>
      <w:tr w14:paraId="2943C27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8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29642F9">
            <w:pPr>
              <w:pStyle w:val="4"/>
              <w:jc w:val="center"/>
              <w:rPr>
                <w:highlight w:val="none"/>
              </w:rPr>
            </w:pPr>
            <w:r>
              <w:rPr>
                <w:rFonts w:ascii="仿宋_GB2312" w:hAnsi="仿宋_GB2312" w:eastAsia="仿宋_GB2312" w:cs="仿宋_GB2312"/>
                <w:color w:val="000000"/>
                <w:sz w:val="24"/>
                <w:highlight w:val="none"/>
              </w:rPr>
              <w:t>25</w:t>
            </w:r>
          </w:p>
        </w:tc>
        <w:tc>
          <w:tcPr>
            <w:tcW w:w="906" w:type="dxa"/>
            <w:vMerge w:val="continue"/>
            <w:tcBorders>
              <w:top w:val="nil"/>
              <w:left w:val="nil"/>
              <w:bottom w:val="single" w:color="000000" w:sz="4" w:space="0"/>
              <w:right w:val="single" w:color="000000" w:sz="4" w:space="0"/>
            </w:tcBorders>
          </w:tcPr>
          <w:p w14:paraId="54B482B3">
            <w:pPr>
              <w:rPr>
                <w:highlight w:val="none"/>
              </w:rPr>
            </w:pPr>
          </w:p>
        </w:tc>
        <w:tc>
          <w:tcPr>
            <w:tcW w:w="3597" w:type="dxa"/>
            <w:tcBorders>
              <w:top w:val="nil"/>
              <w:left w:val="nil"/>
              <w:bottom w:val="single" w:color="000000" w:sz="4" w:space="0"/>
              <w:right w:val="single" w:color="000000" w:sz="4" w:space="0"/>
            </w:tcBorders>
            <w:tcMar>
              <w:top w:w="0" w:type="dxa"/>
              <w:left w:w="105" w:type="dxa"/>
              <w:bottom w:w="0" w:type="dxa"/>
              <w:right w:w="105" w:type="dxa"/>
            </w:tcMar>
            <w:vAlign w:val="top"/>
          </w:tcPr>
          <w:p w14:paraId="74754FCC">
            <w:pPr>
              <w:pStyle w:val="4"/>
              <w:jc w:val="center"/>
              <w:rPr>
                <w:highlight w:val="none"/>
              </w:rPr>
            </w:pPr>
            <w:r>
              <w:rPr>
                <w:rFonts w:ascii="仿宋_GB2312" w:hAnsi="仿宋_GB2312" w:eastAsia="仿宋_GB2312" w:cs="仿宋_GB2312"/>
                <w:color w:val="000000"/>
                <w:sz w:val="24"/>
                <w:highlight w:val="none"/>
              </w:rPr>
              <w:t>协助保障生活服务：空调、热淋淋浴、吹风机、洗衣机、烘干机等报修跟进及时，当天未处理的第二天强提醒服务，无相关投诉。</w:t>
            </w:r>
          </w:p>
        </w:tc>
        <w:tc>
          <w:tcPr>
            <w:tcW w:w="19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10930820">
            <w:pPr>
              <w:pStyle w:val="4"/>
              <w:jc w:val="center"/>
              <w:rPr>
                <w:highlight w:val="none"/>
              </w:rPr>
            </w:pPr>
            <w:r>
              <w:rPr>
                <w:rFonts w:ascii="仿宋_GB2312" w:hAnsi="仿宋_GB2312" w:eastAsia="仿宋_GB2312" w:cs="仿宋_GB2312"/>
                <w:color w:val="000000"/>
                <w:sz w:val="24"/>
                <w:highlight w:val="none"/>
              </w:rPr>
              <w:t>不符合一项扣0.5分，扣完为止。</w:t>
            </w:r>
          </w:p>
        </w:tc>
        <w:tc>
          <w:tcPr>
            <w:tcW w:w="7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12516379">
            <w:pPr>
              <w:pStyle w:val="4"/>
              <w:jc w:val="center"/>
              <w:rPr>
                <w:highlight w:val="none"/>
              </w:rPr>
            </w:pPr>
            <w:r>
              <w:rPr>
                <w:rFonts w:ascii="仿宋_GB2312" w:hAnsi="仿宋_GB2312" w:eastAsia="仿宋_GB2312" w:cs="仿宋_GB2312"/>
                <w:color w:val="000000"/>
                <w:sz w:val="24"/>
                <w:highlight w:val="none"/>
              </w:rPr>
              <w:t>4</w:t>
            </w:r>
          </w:p>
        </w:tc>
        <w:tc>
          <w:tcPr>
            <w:tcW w:w="555" w:type="dxa"/>
            <w:tcBorders>
              <w:top w:val="nil"/>
              <w:left w:val="nil"/>
              <w:bottom w:val="single" w:color="000000" w:sz="4" w:space="0"/>
              <w:right w:val="single" w:color="000000" w:sz="4" w:space="0"/>
            </w:tcBorders>
            <w:tcMar>
              <w:top w:w="0" w:type="dxa"/>
              <w:left w:w="105" w:type="dxa"/>
              <w:bottom w:w="0" w:type="dxa"/>
              <w:right w:w="105" w:type="dxa"/>
            </w:tcMar>
            <w:vAlign w:val="top"/>
          </w:tcPr>
          <w:p w14:paraId="32C462EA">
            <w:pPr>
              <w:pStyle w:val="4"/>
              <w:jc w:val="center"/>
              <w:rPr>
                <w:highlight w:val="none"/>
              </w:rPr>
            </w:pPr>
          </w:p>
        </w:tc>
      </w:tr>
      <w:tr w14:paraId="4EDA0E9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8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6D0F9FC">
            <w:pPr>
              <w:pStyle w:val="4"/>
              <w:jc w:val="center"/>
              <w:rPr>
                <w:highlight w:val="none"/>
              </w:rPr>
            </w:pPr>
            <w:r>
              <w:rPr>
                <w:rFonts w:ascii="仿宋_GB2312" w:hAnsi="仿宋_GB2312" w:eastAsia="仿宋_GB2312" w:cs="仿宋_GB2312"/>
                <w:color w:val="000000"/>
                <w:sz w:val="24"/>
                <w:highlight w:val="none"/>
              </w:rPr>
              <w:t>32</w:t>
            </w:r>
          </w:p>
        </w:tc>
        <w:tc>
          <w:tcPr>
            <w:tcW w:w="906" w:type="dxa"/>
            <w:tcBorders>
              <w:top w:val="nil"/>
              <w:left w:val="nil"/>
              <w:bottom w:val="single" w:color="000000" w:sz="4" w:space="0"/>
              <w:right w:val="single" w:color="000000" w:sz="4" w:space="0"/>
            </w:tcBorders>
            <w:tcMar>
              <w:top w:w="0" w:type="dxa"/>
              <w:left w:w="105" w:type="dxa"/>
              <w:bottom w:w="0" w:type="dxa"/>
              <w:right w:w="105" w:type="dxa"/>
            </w:tcMar>
            <w:vAlign w:val="top"/>
          </w:tcPr>
          <w:p w14:paraId="04681B31">
            <w:pPr>
              <w:pStyle w:val="4"/>
              <w:jc w:val="center"/>
              <w:rPr>
                <w:highlight w:val="none"/>
              </w:rPr>
            </w:pPr>
            <w:r>
              <w:rPr>
                <w:rFonts w:ascii="仿宋_GB2312" w:hAnsi="仿宋_GB2312" w:eastAsia="仿宋_GB2312" w:cs="仿宋_GB2312"/>
                <w:color w:val="000000"/>
                <w:sz w:val="24"/>
                <w:highlight w:val="none"/>
              </w:rPr>
              <w:t>奖励分（10分）</w:t>
            </w:r>
          </w:p>
        </w:tc>
        <w:tc>
          <w:tcPr>
            <w:tcW w:w="3597" w:type="dxa"/>
            <w:tcBorders>
              <w:top w:val="nil"/>
              <w:left w:val="nil"/>
              <w:bottom w:val="single" w:color="000000" w:sz="4" w:space="0"/>
              <w:right w:val="single" w:color="000000" w:sz="4" w:space="0"/>
            </w:tcBorders>
            <w:tcMar>
              <w:top w:w="0" w:type="dxa"/>
              <w:left w:w="105" w:type="dxa"/>
              <w:bottom w:w="0" w:type="dxa"/>
              <w:right w:w="105" w:type="dxa"/>
            </w:tcMar>
            <w:vAlign w:val="top"/>
          </w:tcPr>
          <w:p w14:paraId="54D66CBA">
            <w:pPr>
              <w:pStyle w:val="4"/>
              <w:jc w:val="center"/>
              <w:rPr>
                <w:highlight w:val="none"/>
              </w:rPr>
            </w:pPr>
            <w:r>
              <w:rPr>
                <w:rFonts w:ascii="仿宋_GB2312" w:hAnsi="仿宋_GB2312" w:eastAsia="仿宋_GB2312" w:cs="仿宋_GB2312"/>
                <w:color w:val="000000"/>
                <w:sz w:val="24"/>
                <w:highlight w:val="none"/>
              </w:rPr>
              <w:t>奖励：①各级表彰、学生组织表扬、好人好事等；②重大事项与关键时段表现突出、保障给力（如迎新、送毕、防汛抗台、案件侦破、专项整治等）；③非合约范围内，主动应对处置解决影响师生生活的疑难问题的；④其他（经管理部门合议应予明确激励的事项）。</w:t>
            </w:r>
          </w:p>
        </w:tc>
        <w:tc>
          <w:tcPr>
            <w:tcW w:w="19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02EE2C87">
            <w:pPr>
              <w:pStyle w:val="4"/>
              <w:jc w:val="center"/>
              <w:rPr>
                <w:highlight w:val="none"/>
              </w:rPr>
            </w:pPr>
            <w:r>
              <w:rPr>
                <w:rFonts w:ascii="仿宋_GB2312" w:hAnsi="仿宋_GB2312" w:eastAsia="仿宋_GB2312" w:cs="仿宋_GB2312"/>
                <w:color w:val="000000"/>
                <w:sz w:val="24"/>
                <w:highlight w:val="none"/>
              </w:rPr>
              <w:t>每被奖励一项，奖励1分。</w:t>
            </w:r>
          </w:p>
        </w:tc>
        <w:tc>
          <w:tcPr>
            <w:tcW w:w="716" w:type="dxa"/>
            <w:tcBorders>
              <w:top w:val="nil"/>
              <w:left w:val="nil"/>
              <w:bottom w:val="single" w:color="000000" w:sz="4" w:space="0"/>
              <w:right w:val="single" w:color="000000" w:sz="4" w:space="0"/>
            </w:tcBorders>
            <w:tcMar>
              <w:top w:w="0" w:type="dxa"/>
              <w:left w:w="105" w:type="dxa"/>
              <w:bottom w:w="0" w:type="dxa"/>
              <w:right w:w="105" w:type="dxa"/>
            </w:tcMar>
            <w:vAlign w:val="top"/>
          </w:tcPr>
          <w:p w14:paraId="71F3D5B0">
            <w:pPr>
              <w:pStyle w:val="4"/>
              <w:jc w:val="center"/>
              <w:rPr>
                <w:highlight w:val="none"/>
              </w:rPr>
            </w:pPr>
            <w:r>
              <w:rPr>
                <w:rFonts w:ascii="仿宋_GB2312" w:hAnsi="仿宋_GB2312" w:eastAsia="仿宋_GB2312" w:cs="仿宋_GB2312"/>
                <w:color w:val="000000"/>
                <w:sz w:val="24"/>
                <w:highlight w:val="none"/>
              </w:rPr>
              <w:t>10</w:t>
            </w:r>
          </w:p>
        </w:tc>
        <w:tc>
          <w:tcPr>
            <w:tcW w:w="555" w:type="dxa"/>
            <w:tcBorders>
              <w:top w:val="nil"/>
              <w:left w:val="nil"/>
              <w:bottom w:val="single" w:color="000000" w:sz="4" w:space="0"/>
              <w:right w:val="single" w:color="000000" w:sz="4" w:space="0"/>
            </w:tcBorders>
            <w:tcMar>
              <w:top w:w="0" w:type="dxa"/>
              <w:left w:w="105" w:type="dxa"/>
              <w:bottom w:w="0" w:type="dxa"/>
              <w:right w:w="105" w:type="dxa"/>
            </w:tcMar>
            <w:vAlign w:val="top"/>
          </w:tcPr>
          <w:p w14:paraId="38FA61E3">
            <w:pPr>
              <w:pStyle w:val="4"/>
              <w:jc w:val="center"/>
              <w:rPr>
                <w:highlight w:val="none"/>
              </w:rPr>
            </w:pPr>
          </w:p>
        </w:tc>
      </w:tr>
      <w:tr w14:paraId="7E1C0F2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718" w:type="dxa"/>
            <w:gridSpan w:val="5"/>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6BF85C8F">
            <w:pPr>
              <w:pStyle w:val="4"/>
              <w:jc w:val="center"/>
              <w:rPr>
                <w:highlight w:val="none"/>
              </w:rPr>
            </w:pPr>
            <w:r>
              <w:rPr>
                <w:rFonts w:ascii="仿宋_GB2312" w:hAnsi="仿宋_GB2312" w:eastAsia="仿宋_GB2312" w:cs="仿宋_GB2312"/>
                <w:color w:val="000000"/>
                <w:sz w:val="24"/>
                <w:highlight w:val="none"/>
              </w:rPr>
              <w:t>总分</w:t>
            </w:r>
          </w:p>
        </w:tc>
        <w:tc>
          <w:tcPr>
            <w:tcW w:w="555" w:type="dxa"/>
            <w:tcBorders>
              <w:top w:val="nil"/>
              <w:left w:val="nil"/>
              <w:bottom w:val="single" w:color="000000" w:sz="4" w:space="0"/>
              <w:right w:val="single" w:color="000000" w:sz="4" w:space="0"/>
            </w:tcBorders>
            <w:tcMar>
              <w:top w:w="0" w:type="dxa"/>
              <w:left w:w="105" w:type="dxa"/>
              <w:bottom w:w="0" w:type="dxa"/>
              <w:right w:w="105" w:type="dxa"/>
            </w:tcMar>
            <w:vAlign w:val="top"/>
          </w:tcPr>
          <w:p w14:paraId="515976D7">
            <w:pPr>
              <w:pStyle w:val="4"/>
              <w:jc w:val="center"/>
              <w:rPr>
                <w:highlight w:val="none"/>
              </w:rPr>
            </w:pPr>
          </w:p>
        </w:tc>
      </w:tr>
    </w:tbl>
    <w:p w14:paraId="77F05EF7">
      <w:pPr>
        <w:pStyle w:val="4"/>
        <w:jc w:val="left"/>
        <w:rPr>
          <w:highlight w:val="none"/>
        </w:rPr>
      </w:pPr>
      <w:r>
        <w:rPr>
          <w:rFonts w:ascii="仿宋_GB2312" w:hAnsi="仿宋_GB2312" w:eastAsia="仿宋_GB2312" w:cs="仿宋_GB2312"/>
          <w:b/>
          <w:color w:val="000000"/>
          <w:sz w:val="28"/>
          <w:highlight w:val="none"/>
        </w:rPr>
        <w:t>3.违约责任要求</w:t>
      </w:r>
    </w:p>
    <w:p w14:paraId="4DA5C250">
      <w:pPr>
        <w:pStyle w:val="4"/>
        <w:ind w:firstLine="560"/>
        <w:jc w:val="left"/>
        <w:rPr>
          <w:highlight w:val="none"/>
        </w:rPr>
      </w:pPr>
      <w:r>
        <w:rPr>
          <w:rFonts w:ascii="仿宋_GB2312" w:hAnsi="仿宋_GB2312" w:eastAsia="仿宋_GB2312" w:cs="仿宋_GB2312"/>
          <w:color w:val="000000"/>
          <w:sz w:val="28"/>
          <w:highlight w:val="none"/>
        </w:rPr>
        <w:t>3.1中标人逾期履行服务的，中标人应按逾期交付总额每日3‰向采购人支付违约金，由采购人从待付货款中扣除。中标人无正当理由逾期超过约定日期30日仍不能交付的，视为“中标人不按合同约定履约”。</w:t>
      </w:r>
    </w:p>
    <w:p w14:paraId="04982916">
      <w:pPr>
        <w:pStyle w:val="4"/>
        <w:ind w:firstLine="560"/>
        <w:jc w:val="left"/>
        <w:rPr>
          <w:highlight w:val="none"/>
        </w:rPr>
      </w:pPr>
      <w:r>
        <w:rPr>
          <w:rFonts w:ascii="仿宋_GB2312" w:hAnsi="仿宋_GB2312" w:eastAsia="仿宋_GB2312" w:cs="仿宋_GB2312"/>
          <w:color w:val="000000"/>
          <w:sz w:val="28"/>
          <w:highlight w:val="none"/>
        </w:rPr>
        <w:t>3.2中标人所履行的服务不符合合同规定及《采购文件》规定标准的，采购人有权拒绝，中标人愿意整改但逾期履行的，按中标人逾期履行处理。中标人拒绝整改的，视为“中标人不按合同约定履约”。</w:t>
      </w:r>
    </w:p>
    <w:p w14:paraId="7AF507D0">
      <w:pPr>
        <w:pStyle w:val="4"/>
        <w:ind w:firstLine="560"/>
        <w:jc w:val="left"/>
        <w:rPr>
          <w:highlight w:val="none"/>
        </w:rPr>
      </w:pPr>
      <w:r>
        <w:rPr>
          <w:rFonts w:ascii="仿宋_GB2312" w:hAnsi="仿宋_GB2312" w:eastAsia="仿宋_GB2312" w:cs="仿宋_GB2312"/>
          <w:color w:val="000000"/>
          <w:sz w:val="28"/>
          <w:highlight w:val="none"/>
        </w:rPr>
        <w:t>3.3中标人不按合同约定履约的，采购人可以解除采购合同，并对中标人已缴纳的履约保证金作“不予退还”处理。同时，中标人须按合同金额的30%向采购人支付违约金。</w:t>
      </w:r>
    </w:p>
    <w:p w14:paraId="2C174EA8">
      <w:pPr>
        <w:pStyle w:val="4"/>
        <w:ind w:firstLine="560"/>
        <w:jc w:val="both"/>
        <w:rPr>
          <w:highlight w:val="none"/>
        </w:rPr>
      </w:pPr>
      <w:r>
        <w:rPr>
          <w:rFonts w:ascii="仿宋_GB2312" w:hAnsi="仿宋_GB2312" w:eastAsia="仿宋_GB2312" w:cs="仿宋_GB2312"/>
          <w:color w:val="000000"/>
          <w:sz w:val="28"/>
          <w:highlight w:val="none"/>
          <w:shd w:val="clear" w:fill="FFFFFF"/>
        </w:rPr>
        <w:t>3.4在合同期内，如中标人违反合同规定，未达到约定的管理目标，采购人有权要求中标人限期整改，逾期未整改或者整改不达标的，每次扣罚2000元（从当月物业管理费中直接扣罚），且根据情况采购人有权终止合同，没收全部履约保证金，造成采购人损失、损害的，中标人应给予采购人经济赔偿。相应的整改工作采购人可另外找有资质的公司完成，费用由中标人承担。</w:t>
      </w:r>
    </w:p>
    <w:p w14:paraId="1D6F427E">
      <w:pPr>
        <w:pStyle w:val="4"/>
        <w:ind w:firstLine="560"/>
        <w:jc w:val="both"/>
        <w:rPr>
          <w:highlight w:val="none"/>
        </w:rPr>
      </w:pPr>
      <w:r>
        <w:rPr>
          <w:rFonts w:ascii="仿宋_GB2312" w:hAnsi="仿宋_GB2312" w:eastAsia="仿宋_GB2312" w:cs="仿宋_GB2312"/>
          <w:color w:val="000000"/>
          <w:sz w:val="28"/>
          <w:highlight w:val="none"/>
          <w:shd w:val="clear" w:fill="FFFFFF"/>
        </w:rPr>
        <w:t>3.5电梯安全员和水电工实行24小时轮班制，若出现电梯安全员和水电工缺勤情况，当月发现一次扣200元（从当月物业管理费中直接扣罚），二次扣500元（从当月物业管理费中直接扣罚），如果出现二次以上校方可以要求物业公司更换电梯安全员和水电工。造成校方财产或人员伤亡的，由物业公司负全责。</w:t>
      </w:r>
    </w:p>
    <w:p w14:paraId="5F5B74D0">
      <w:pPr>
        <w:pStyle w:val="4"/>
        <w:ind w:firstLine="560"/>
        <w:jc w:val="both"/>
        <w:rPr>
          <w:highlight w:val="none"/>
        </w:rPr>
      </w:pPr>
      <w:r>
        <w:rPr>
          <w:rFonts w:ascii="仿宋_GB2312" w:hAnsi="仿宋_GB2312" w:eastAsia="仿宋_GB2312" w:cs="仿宋_GB2312"/>
          <w:color w:val="000000"/>
          <w:sz w:val="28"/>
          <w:highlight w:val="none"/>
          <w:shd w:val="clear" w:fill="FFFFFF"/>
        </w:rPr>
        <w:t>3.6中标人应按投标文件的承诺部署相应的物业管理人员，这些管理人员在合同期内应相对固定且无承担其他兼职项目。中标人管理人员（含项目经理、工程主管、</w:t>
      </w:r>
      <w:r>
        <w:rPr>
          <w:rFonts w:ascii="仿宋_GB2312" w:hAnsi="仿宋_GB2312" w:eastAsia="仿宋_GB2312" w:cs="仿宋_GB2312"/>
          <w:color w:val="000000"/>
          <w:sz w:val="24"/>
          <w:highlight w:val="none"/>
        </w:rPr>
        <w:t>保洁、宿舍主管</w:t>
      </w:r>
      <w:r>
        <w:rPr>
          <w:rFonts w:ascii="仿宋_GB2312" w:hAnsi="仿宋_GB2312" w:eastAsia="仿宋_GB2312" w:cs="仿宋_GB2312"/>
          <w:color w:val="000000"/>
          <w:sz w:val="28"/>
          <w:highlight w:val="none"/>
          <w:shd w:val="clear" w:fill="FFFFFF"/>
        </w:rPr>
        <w:t>）因特殊原因如需调整，中标人应派出同等资质和资格的人员进行替换并向采购人报批，如未经学院同意私自更换，扣罚违约金1万元（从当月物业管理费中直接扣罚）。造成采购人事故或重大损失的，将追究相应的经济和法律责任。</w:t>
      </w:r>
    </w:p>
    <w:p w14:paraId="0FECC13F">
      <w:pPr>
        <w:pStyle w:val="4"/>
        <w:ind w:firstLine="560"/>
        <w:jc w:val="both"/>
        <w:rPr>
          <w:highlight w:val="none"/>
        </w:rPr>
      </w:pPr>
      <w:r>
        <w:rPr>
          <w:rFonts w:ascii="仿宋_GB2312" w:hAnsi="仿宋_GB2312" w:eastAsia="仿宋_GB2312" w:cs="仿宋_GB2312"/>
          <w:color w:val="000000"/>
          <w:sz w:val="28"/>
          <w:highlight w:val="none"/>
          <w:shd w:val="clear" w:fill="FFFFFF"/>
        </w:rPr>
        <w:t>3.7因中标人操作不当或维修、维护不及时或管理不善等原因，造成重大损失的，由中标人承担责任并负责善后处理，采购人不承担任何责任且采购人有权没收履约保证金，造成采购人的损害、损失的，中标人需承担赔偿责任。</w:t>
      </w:r>
    </w:p>
    <w:p w14:paraId="6E8D3C34">
      <w:pPr>
        <w:pStyle w:val="4"/>
        <w:spacing w:before="60" w:after="60"/>
        <w:ind w:right="-285" w:firstLine="562"/>
        <w:jc w:val="left"/>
        <w:rPr>
          <w:highlight w:val="none"/>
        </w:rPr>
      </w:pPr>
      <w:r>
        <w:rPr>
          <w:rFonts w:ascii="仿宋_GB2312" w:hAnsi="仿宋_GB2312" w:eastAsia="仿宋_GB2312" w:cs="仿宋_GB2312"/>
          <w:b/>
          <w:color w:val="000000"/>
          <w:sz w:val="28"/>
          <w:highlight w:val="none"/>
          <w:shd w:val="clear" w:fill="FFFFFF"/>
        </w:rPr>
        <w:t>4、其他要求</w:t>
      </w:r>
    </w:p>
    <w:p w14:paraId="2CF56F14">
      <w:pPr>
        <w:pStyle w:val="4"/>
        <w:ind w:firstLine="560"/>
        <w:jc w:val="both"/>
        <w:rPr>
          <w:highlight w:val="none"/>
        </w:rPr>
      </w:pPr>
      <w:r>
        <w:rPr>
          <w:rFonts w:ascii="仿宋_GB2312" w:hAnsi="仿宋_GB2312" w:eastAsia="仿宋_GB2312" w:cs="仿宋_GB2312"/>
          <w:color w:val="000000"/>
          <w:sz w:val="28"/>
          <w:highlight w:val="none"/>
          <w:shd w:val="clear" w:fill="FFFFFF"/>
        </w:rPr>
        <w:t>4.1中标人在开展物业管理服务过程中须特别重视安全工作，必须做到但不限于做到以下几点：</w:t>
      </w:r>
    </w:p>
    <w:p w14:paraId="30C0BA29">
      <w:pPr>
        <w:pStyle w:val="4"/>
        <w:ind w:firstLine="560"/>
        <w:jc w:val="both"/>
        <w:rPr>
          <w:highlight w:val="none"/>
        </w:rPr>
      </w:pPr>
      <w:r>
        <w:rPr>
          <w:rFonts w:ascii="仿宋_GB2312" w:hAnsi="仿宋_GB2312" w:eastAsia="仿宋_GB2312" w:cs="仿宋_GB2312"/>
          <w:color w:val="000000"/>
          <w:sz w:val="28"/>
          <w:highlight w:val="none"/>
          <w:shd w:val="clear" w:fill="FFFFFF"/>
        </w:rPr>
        <w:t>（1）应与采购人签订安全目标责任书，并自觉接受采购人的监督与指导，积极配合采购人搞好管理、服务、育人工作，共同维护校园安定稳定。</w:t>
      </w:r>
    </w:p>
    <w:p w14:paraId="1CD3E7D0">
      <w:pPr>
        <w:pStyle w:val="4"/>
        <w:ind w:firstLine="560"/>
        <w:jc w:val="both"/>
        <w:rPr>
          <w:highlight w:val="none"/>
        </w:rPr>
      </w:pPr>
      <w:r>
        <w:rPr>
          <w:rFonts w:ascii="仿宋_GB2312" w:hAnsi="仿宋_GB2312" w:eastAsia="仿宋_GB2312" w:cs="仿宋_GB2312"/>
          <w:color w:val="000000"/>
          <w:sz w:val="28"/>
          <w:highlight w:val="none"/>
          <w:shd w:val="clear" w:fill="FFFFFF"/>
        </w:rPr>
        <w:t>（2）中标人应开展物业工作人员安全教育、培训工作，中标人工作人员在履行职务中的人员伤亡、责任由中标人承担，采购人不承担任何责任。</w:t>
      </w:r>
    </w:p>
    <w:p w14:paraId="1547DAF9">
      <w:pPr>
        <w:pStyle w:val="4"/>
        <w:ind w:firstLine="560"/>
        <w:jc w:val="both"/>
        <w:rPr>
          <w:highlight w:val="none"/>
        </w:rPr>
      </w:pPr>
      <w:r>
        <w:rPr>
          <w:rFonts w:ascii="仿宋_GB2312" w:hAnsi="仿宋_GB2312" w:eastAsia="仿宋_GB2312" w:cs="仿宋_GB2312"/>
          <w:color w:val="000000"/>
          <w:sz w:val="28"/>
          <w:highlight w:val="none"/>
          <w:shd w:val="clear" w:fill="FFFFFF"/>
        </w:rPr>
        <w:t>（3）物业管理服务项目操作均须严格按照国家和地区相关安全操作规程，如发生违规操作现象，出现人员伤亡、财产损失等情况，所有损失和责任全部由中标人承担。采购人发现中标人有违规操作现象或出现事故须缴纳整改金，每次5000元。</w:t>
      </w:r>
    </w:p>
    <w:p w14:paraId="1225DB5A">
      <w:pPr>
        <w:pStyle w:val="4"/>
        <w:ind w:firstLine="560"/>
        <w:jc w:val="both"/>
        <w:rPr>
          <w:highlight w:val="none"/>
        </w:rPr>
      </w:pPr>
      <w:r>
        <w:rPr>
          <w:rFonts w:ascii="仿宋_GB2312" w:hAnsi="仿宋_GB2312" w:eastAsia="仿宋_GB2312" w:cs="仿宋_GB2312"/>
          <w:color w:val="000000"/>
          <w:sz w:val="28"/>
          <w:highlight w:val="none"/>
          <w:shd w:val="clear" w:fill="FFFFFF"/>
        </w:rPr>
        <w:t>（4）处置紧急突发事件时物业工作人员必须服从学校相关部门的指令，及时配合参与处置。</w:t>
      </w:r>
    </w:p>
    <w:p w14:paraId="209F97D1">
      <w:pPr>
        <w:pStyle w:val="4"/>
        <w:ind w:firstLine="560"/>
        <w:jc w:val="both"/>
        <w:rPr>
          <w:highlight w:val="none"/>
        </w:rPr>
      </w:pPr>
      <w:r>
        <w:rPr>
          <w:rFonts w:ascii="仿宋_GB2312" w:hAnsi="仿宋_GB2312" w:eastAsia="仿宋_GB2312" w:cs="仿宋_GB2312"/>
          <w:color w:val="000000"/>
          <w:sz w:val="28"/>
          <w:highlight w:val="none"/>
          <w:shd w:val="clear" w:fill="FFFFFF"/>
        </w:rPr>
        <w:t>4.2中标人在开展物业管理服务过程中须遵规守纪守法，必须做到但不限于做到以下几点：</w:t>
      </w:r>
    </w:p>
    <w:p w14:paraId="69D95C9C">
      <w:pPr>
        <w:pStyle w:val="4"/>
        <w:ind w:firstLine="560"/>
        <w:jc w:val="both"/>
        <w:rPr>
          <w:highlight w:val="none"/>
        </w:rPr>
      </w:pPr>
      <w:r>
        <w:rPr>
          <w:rFonts w:ascii="仿宋_GB2312" w:hAnsi="仿宋_GB2312" w:eastAsia="仿宋_GB2312" w:cs="仿宋_GB2312"/>
          <w:color w:val="000000"/>
          <w:sz w:val="28"/>
          <w:highlight w:val="none"/>
          <w:shd w:val="clear" w:fill="FFFFFF"/>
        </w:rPr>
        <w:t>（1）遵守现行《劳动法》、《劳动合同法》等法律法规及福州市相关规定，与员工签订劳动合同，在合同期间所有人员的工资、酬金、社保费及其人身安全、发生纠纷等均由中标人负责。</w:t>
      </w:r>
    </w:p>
    <w:p w14:paraId="0AE7743F">
      <w:pPr>
        <w:pStyle w:val="4"/>
        <w:ind w:firstLine="560"/>
        <w:jc w:val="both"/>
        <w:rPr>
          <w:highlight w:val="none"/>
        </w:rPr>
      </w:pPr>
      <w:r>
        <w:rPr>
          <w:rFonts w:ascii="仿宋_GB2312" w:hAnsi="仿宋_GB2312" w:eastAsia="仿宋_GB2312" w:cs="仿宋_GB2312"/>
          <w:color w:val="000000"/>
          <w:sz w:val="28"/>
          <w:highlight w:val="none"/>
          <w:shd w:val="clear" w:fill="FFFFFF"/>
        </w:rPr>
        <w:t>（2）不得擅自占用校区内的公共设施或改变使用其功能，如需扩建或完善配套项目，需与采购人协商经批准后方可实施；中标人不得将管理责任及利益转让给其他单位或个人，不得在校区内开展与本物业管理服务无关的活动，不得干涉或影响采购人进行各种合法活动。</w:t>
      </w:r>
    </w:p>
    <w:p w14:paraId="0B8B251D">
      <w:pPr>
        <w:pStyle w:val="4"/>
        <w:ind w:firstLine="560"/>
        <w:jc w:val="both"/>
        <w:rPr>
          <w:highlight w:val="none"/>
        </w:rPr>
      </w:pPr>
      <w:r>
        <w:rPr>
          <w:rFonts w:ascii="仿宋_GB2312" w:hAnsi="仿宋_GB2312" w:eastAsia="仿宋_GB2312" w:cs="仿宋_GB2312"/>
          <w:color w:val="000000"/>
          <w:sz w:val="28"/>
          <w:highlight w:val="none"/>
          <w:shd w:val="clear" w:fill="FFFFFF"/>
        </w:rPr>
        <w:t>（3）遵守学校各项管理制度，落实管理育人、服务育人的要求。不得透露校区有关重要消息和情况，对外不得损害学校名誉，和校区师生交往不得散布流言蜚语。</w:t>
      </w:r>
    </w:p>
    <w:p w14:paraId="1E342873">
      <w:pPr>
        <w:pStyle w:val="4"/>
        <w:ind w:firstLine="562"/>
        <w:jc w:val="both"/>
        <w:rPr>
          <w:highlight w:val="none"/>
        </w:rPr>
      </w:pPr>
      <w:r>
        <w:rPr>
          <w:rFonts w:ascii="仿宋_GB2312" w:hAnsi="仿宋_GB2312" w:eastAsia="仿宋_GB2312" w:cs="仿宋_GB2312"/>
          <w:b/>
          <w:color w:val="000000"/>
          <w:sz w:val="28"/>
          <w:highlight w:val="none"/>
          <w:shd w:val="clear" w:fill="FFFFFF"/>
        </w:rPr>
        <w:t>5.请各投标人综合考虑以下报价因素进行合理报价：</w:t>
      </w:r>
    </w:p>
    <w:p w14:paraId="477EE63F">
      <w:pPr>
        <w:pStyle w:val="4"/>
        <w:ind w:firstLine="560"/>
        <w:jc w:val="both"/>
        <w:rPr>
          <w:highlight w:val="none"/>
        </w:rPr>
      </w:pPr>
      <w:r>
        <w:rPr>
          <w:rFonts w:ascii="仿宋_GB2312" w:hAnsi="仿宋_GB2312" w:eastAsia="仿宋_GB2312" w:cs="仿宋_GB2312"/>
          <w:color w:val="000000"/>
          <w:sz w:val="28"/>
          <w:highlight w:val="none"/>
          <w:shd w:val="clear" w:fill="FFFFFF"/>
        </w:rPr>
        <w:t>（1）在投标报价中，物业管理费采用包干制。中标人根据有关物业管理法规与采购人签订物业管理合同，对本物业实行管理，自主经营，自负盈亏。物业管理服务人员的劳动关系、工资、社会保险、其他福利等相关劳动事宜，由中标人自行负责，与采购人无关。</w:t>
      </w:r>
    </w:p>
    <w:p w14:paraId="7178C73E">
      <w:pPr>
        <w:pStyle w:val="4"/>
        <w:jc w:val="both"/>
        <w:rPr>
          <w:highlight w:val="none"/>
        </w:rPr>
      </w:pPr>
      <w:r>
        <w:rPr>
          <w:rFonts w:ascii="仿宋_GB2312" w:hAnsi="仿宋_GB2312" w:eastAsia="仿宋_GB2312" w:cs="仿宋_GB2312"/>
          <w:color w:val="000000"/>
          <w:sz w:val="28"/>
          <w:highlight w:val="none"/>
          <w:shd w:val="clear" w:fill="FFFFFF"/>
        </w:rPr>
        <w:t xml:space="preserve">  （2）中标人的投标报价须包含工作人员的工资、福利（含五险、法定假日加班费、高温费、工作服、团体人员意外雇主保险等）、其他各项费用（含办公物品折旧费用及办公用品、其他耗材、设备费等）、管理费、税费等要求完成物业服务所涉及的有关项目的全部费用及合理利润进行报价。中标人还应考虑合同中可能出现的索赔和变更，采购人不再承担任何费用。</w:t>
      </w:r>
    </w:p>
    <w:p w14:paraId="5C356A4A">
      <w:pPr>
        <w:pStyle w:val="4"/>
        <w:jc w:val="both"/>
        <w:outlineLvl w:val="2"/>
        <w:rPr>
          <w:highlight w:val="none"/>
        </w:rPr>
      </w:pPr>
      <w:r>
        <w:rPr>
          <w:rFonts w:ascii="仿宋_GB2312" w:hAnsi="仿宋_GB2312" w:eastAsia="仿宋_GB2312" w:cs="仿宋_GB2312"/>
          <w:b/>
          <w:sz w:val="28"/>
          <w:highlight w:val="none"/>
        </w:rPr>
        <w:t>四、其他事项</w:t>
      </w:r>
    </w:p>
    <w:p w14:paraId="7E299270">
      <w:pPr>
        <w:pStyle w:val="4"/>
        <w:ind w:firstLine="480"/>
        <w:jc w:val="both"/>
        <w:rPr>
          <w:highlight w:val="none"/>
        </w:rPr>
      </w:pPr>
      <w:r>
        <w:rPr>
          <w:rFonts w:ascii="仿宋_GB2312" w:hAnsi="仿宋_GB2312" w:eastAsia="仿宋_GB2312" w:cs="仿宋_GB2312"/>
          <w:highlight w:val="none"/>
        </w:rPr>
        <w:t>1、除招标文件另有规定外，若出现有关法律、法规和规章有强制性规定但招标文件未列明的情形，则投标人应按照有关法律、法规和规章强制性规定执行。</w:t>
      </w:r>
    </w:p>
    <w:p w14:paraId="36F8B4CA">
      <w:pPr>
        <w:pStyle w:val="4"/>
        <w:ind w:firstLine="480"/>
        <w:jc w:val="both"/>
        <w:rPr>
          <w:highlight w:val="none"/>
        </w:rPr>
      </w:pPr>
      <w:r>
        <w:rPr>
          <w:rFonts w:ascii="仿宋_GB2312" w:hAnsi="仿宋_GB2312" w:eastAsia="仿宋_GB2312" w:cs="仿宋_GB2312"/>
          <w:highlight w:val="none"/>
        </w:rPr>
        <w:t>2、其他：</w:t>
      </w:r>
    </w:p>
    <w:p w14:paraId="29D2788B">
      <w:pPr>
        <w:pStyle w:val="4"/>
        <w:ind w:firstLine="480"/>
        <w:jc w:val="both"/>
        <w:rPr>
          <w:highlight w:val="none"/>
        </w:rPr>
      </w:pPr>
      <w:r>
        <w:rPr>
          <w:rFonts w:ascii="仿宋_GB2312" w:hAnsi="仿宋_GB2312" w:eastAsia="仿宋_GB2312" w:cs="仿宋_GB2312"/>
          <w:highlight w:val="none"/>
        </w:rPr>
        <w:t>若投标人为小微企业，在填报《中小企业声明函》时，其从业人员数应包括在岗职工、劳务派遣人员及其他从业人员。</w:t>
      </w:r>
    </w:p>
    <w:p w14:paraId="1709AD33">
      <w:pPr>
        <w:pStyle w:val="4"/>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61620451">
      <w:pPr>
        <w:pStyle w:val="4"/>
        <w:jc w:val="center"/>
        <w:outlineLvl w:val="1"/>
        <w:rPr>
          <w:highlight w:val="none"/>
        </w:rPr>
      </w:pPr>
      <w:r>
        <w:rPr>
          <w:rFonts w:ascii="仿宋_GB2312" w:hAnsi="仿宋_GB2312" w:eastAsia="仿宋_GB2312" w:cs="仿宋_GB2312"/>
          <w:b/>
          <w:sz w:val="36"/>
          <w:highlight w:val="none"/>
        </w:rPr>
        <w:t>第六章 政府采购合同</w:t>
      </w:r>
    </w:p>
    <w:p w14:paraId="57FD24AA">
      <w:pPr>
        <w:pStyle w:val="4"/>
        <w:jc w:val="center"/>
        <w:outlineLvl w:val="2"/>
        <w:rPr>
          <w:highlight w:val="none"/>
        </w:rPr>
      </w:pPr>
      <w:r>
        <w:rPr>
          <w:rFonts w:ascii="仿宋_GB2312" w:hAnsi="仿宋_GB2312" w:eastAsia="仿宋_GB2312" w:cs="仿宋_GB2312"/>
          <w:b/>
          <w:sz w:val="28"/>
          <w:highlight w:val="none"/>
        </w:rPr>
        <w:t>参考文本</w:t>
      </w:r>
    </w:p>
    <w:p w14:paraId="67AB5597">
      <w:pPr>
        <w:pStyle w:val="4"/>
        <w:jc w:val="left"/>
        <w:rPr>
          <w:highlight w:val="none"/>
        </w:rPr>
      </w:pPr>
      <w:r>
        <w:rPr>
          <w:rFonts w:ascii="仿宋_GB2312" w:hAnsi="仿宋_GB2312" w:eastAsia="仿宋_GB2312" w:cs="仿宋_GB2312"/>
          <w:highlight w:val="none"/>
        </w:rPr>
        <w:t>合同编号：</w:t>
      </w:r>
    </w:p>
    <w:p w14:paraId="445AE797">
      <w:pPr>
        <w:pStyle w:val="4"/>
        <w:jc w:val="center"/>
        <w:outlineLvl w:val="1"/>
        <w:rPr>
          <w:highlight w:val="none"/>
        </w:rPr>
      </w:pPr>
      <w:r>
        <w:rPr>
          <w:rFonts w:ascii="仿宋_GB2312" w:hAnsi="仿宋_GB2312" w:eastAsia="仿宋_GB2312" w:cs="仿宋_GB2312"/>
          <w:b/>
          <w:sz w:val="36"/>
          <w:highlight w:val="none"/>
        </w:rPr>
        <w:t xml:space="preserve"> 福建省政府采购合同（服务类）</w:t>
      </w:r>
    </w:p>
    <w:p w14:paraId="34606897">
      <w:pPr>
        <w:pStyle w:val="4"/>
        <w:jc w:val="center"/>
        <w:outlineLvl w:val="3"/>
        <w:rPr>
          <w:highlight w:val="none"/>
        </w:rPr>
      </w:pPr>
      <w:r>
        <w:rPr>
          <w:rFonts w:ascii="仿宋_GB2312" w:hAnsi="仿宋_GB2312" w:eastAsia="仿宋_GB2312" w:cs="仿宋_GB2312"/>
          <w:b/>
          <w:sz w:val="24"/>
          <w:highlight w:val="none"/>
        </w:rPr>
        <w:t>编制说明</w:t>
      </w:r>
      <w:r>
        <w:rPr>
          <w:highlight w:val="none"/>
        </w:rPr>
        <w:br w:type="textWrapping"/>
      </w:r>
    </w:p>
    <w:p w14:paraId="46F4840F">
      <w:pPr>
        <w:pStyle w:val="4"/>
        <w:jc w:val="left"/>
        <w:outlineLvl w:val="3"/>
        <w:rPr>
          <w:highlight w:val="none"/>
        </w:rPr>
      </w:pPr>
      <w:r>
        <w:rPr>
          <w:rFonts w:ascii="仿宋_GB2312" w:hAnsi="仿宋_GB2312" w:eastAsia="仿宋_GB2312" w:cs="仿宋_GB2312"/>
          <w:b/>
          <w:sz w:val="24"/>
          <w:highlight w:val="none"/>
        </w:rPr>
        <w:t xml:space="preserve"> 1.签订合同应遵守《中华人民共和国政府采购法》及其实施条例、《中华人民共和国民法典》等法律法规及其他有关规定。</w:t>
      </w:r>
    </w:p>
    <w:p w14:paraId="23F58078">
      <w:pPr>
        <w:pStyle w:val="4"/>
        <w:jc w:val="left"/>
        <w:outlineLvl w:val="3"/>
        <w:rPr>
          <w:highlight w:val="none"/>
        </w:rPr>
      </w:pPr>
      <w:r>
        <w:rPr>
          <w:rFonts w:ascii="仿宋_GB2312" w:hAnsi="仿宋_GB2312" w:eastAsia="仿宋_GB2312" w:cs="仿宋_GB2312"/>
          <w:b/>
          <w:sz w:val="24"/>
          <w:highlight w:val="none"/>
        </w:rPr>
        <w:t xml:space="preserve"> 2.签订合同时，采购人与中标(成交)人应结合采购文件规定填列相应内容。采购文件已有约定的，双方均不得对约定进行变更或调整；采购文件未作规定的，双方可通过友好协商进行约定。</w:t>
      </w:r>
    </w:p>
    <w:p w14:paraId="07F52C3F">
      <w:pPr>
        <w:pStyle w:val="4"/>
        <w:jc w:val="left"/>
        <w:outlineLvl w:val="3"/>
        <w:rPr>
          <w:highlight w:val="none"/>
        </w:rPr>
      </w:pPr>
      <w:r>
        <w:rPr>
          <w:rFonts w:ascii="仿宋_GB2312" w:hAnsi="仿宋_GB2312" w:eastAsia="仿宋_GB2312" w:cs="仿宋_GB2312"/>
          <w:b/>
          <w:sz w:val="24"/>
          <w:highlight w:val="none"/>
        </w:rPr>
        <w:t xml:space="preserve"> 3.政府有关主管部门对若干合同有规范文本的，可使用相应合同文本。</w:t>
      </w:r>
    </w:p>
    <w:p w14:paraId="1B67DE31">
      <w:pPr>
        <w:pStyle w:val="4"/>
        <w:jc w:val="left"/>
        <w:outlineLvl w:val="3"/>
        <w:rPr>
          <w:highlight w:val="none"/>
        </w:rPr>
      </w:pPr>
      <w:r>
        <w:rPr>
          <w:rFonts w:ascii="仿宋_GB2312" w:hAnsi="仿宋_GB2312" w:eastAsia="仿宋_GB2312" w:cs="仿宋_GB2312"/>
          <w:b/>
          <w:sz w:val="24"/>
          <w:highlight w:val="none"/>
        </w:rPr>
        <w:t xml:space="preserve"> 4.本合同范本仅供参考，采购人应当根据采购项目的实际需求对合同条款进行修改、补充。</w:t>
      </w:r>
    </w:p>
    <w:p w14:paraId="70738EDB">
      <w:pPr>
        <w:pStyle w:val="4"/>
        <w:ind w:left="0"/>
        <w:jc w:val="left"/>
        <w:rPr>
          <w:highlight w:val="none"/>
        </w:rPr>
      </w:pPr>
      <w:r>
        <w:rPr>
          <w:rFonts w:ascii="仿宋_GB2312" w:hAnsi="仿宋_GB2312" w:eastAsia="仿宋_GB2312" w:cs="仿宋_GB2312"/>
          <w:highlight w:val="none"/>
        </w:rPr>
        <w:t>甲方：</w:t>
      </w:r>
    </w:p>
    <w:p w14:paraId="38DA42BF">
      <w:pPr>
        <w:pStyle w:val="4"/>
        <w:jc w:val="left"/>
        <w:rPr>
          <w:highlight w:val="none"/>
        </w:rPr>
      </w:pPr>
      <w:r>
        <w:rPr>
          <w:rFonts w:ascii="仿宋_GB2312" w:hAnsi="仿宋_GB2312" w:eastAsia="仿宋_GB2312" w:cs="仿宋_GB2312"/>
          <w:highlight w:val="none"/>
        </w:rPr>
        <w:t>住所地：________________</w:t>
      </w:r>
    </w:p>
    <w:p w14:paraId="6FA32957">
      <w:pPr>
        <w:pStyle w:val="4"/>
        <w:jc w:val="left"/>
        <w:rPr>
          <w:highlight w:val="none"/>
        </w:rPr>
      </w:pPr>
      <w:r>
        <w:rPr>
          <w:rFonts w:ascii="仿宋_GB2312" w:hAnsi="仿宋_GB2312" w:eastAsia="仿宋_GB2312" w:cs="仿宋_GB2312"/>
          <w:highlight w:val="none"/>
        </w:rPr>
        <w:t>联系人：________________</w:t>
      </w:r>
    </w:p>
    <w:p w14:paraId="78AF8428">
      <w:pPr>
        <w:pStyle w:val="4"/>
        <w:jc w:val="left"/>
        <w:rPr>
          <w:highlight w:val="none"/>
        </w:rPr>
      </w:pPr>
      <w:r>
        <w:rPr>
          <w:rFonts w:ascii="仿宋_GB2312" w:hAnsi="仿宋_GB2312" w:eastAsia="仿宋_GB2312" w:cs="仿宋_GB2312"/>
          <w:highlight w:val="none"/>
        </w:rPr>
        <w:t>联系电话：______________</w:t>
      </w:r>
    </w:p>
    <w:p w14:paraId="44A62C7B">
      <w:pPr>
        <w:pStyle w:val="4"/>
        <w:jc w:val="left"/>
        <w:rPr>
          <w:highlight w:val="none"/>
        </w:rPr>
      </w:pPr>
      <w:r>
        <w:rPr>
          <w:rFonts w:ascii="仿宋_GB2312" w:hAnsi="仿宋_GB2312" w:eastAsia="仿宋_GB2312" w:cs="仿宋_GB2312"/>
          <w:highlight w:val="none"/>
        </w:rPr>
        <w:t>传真：________________</w:t>
      </w:r>
    </w:p>
    <w:p w14:paraId="72BBCF2E">
      <w:pPr>
        <w:pStyle w:val="4"/>
        <w:jc w:val="left"/>
        <w:rPr>
          <w:highlight w:val="none"/>
        </w:rPr>
      </w:pPr>
      <w:r>
        <w:rPr>
          <w:rFonts w:ascii="仿宋_GB2312" w:hAnsi="仿宋_GB2312" w:eastAsia="仿宋_GB2312" w:cs="仿宋_GB2312"/>
          <w:highlight w:val="none"/>
        </w:rPr>
        <w:t>电子邮箱：________________</w:t>
      </w:r>
      <w:r>
        <w:rPr>
          <w:highlight w:val="none"/>
        </w:rPr>
        <w:br w:type="textWrapping"/>
      </w:r>
    </w:p>
    <w:p w14:paraId="4A542A83">
      <w:pPr>
        <w:pStyle w:val="4"/>
        <w:ind w:left="0"/>
        <w:jc w:val="left"/>
        <w:rPr>
          <w:highlight w:val="none"/>
        </w:rPr>
      </w:pPr>
      <w:r>
        <w:rPr>
          <w:rFonts w:ascii="仿宋_GB2312" w:hAnsi="仿宋_GB2312" w:eastAsia="仿宋_GB2312" w:cs="仿宋_GB2312"/>
          <w:highlight w:val="none"/>
        </w:rPr>
        <w:t xml:space="preserve"> 乙方： ________________</w:t>
      </w:r>
    </w:p>
    <w:p w14:paraId="1B4C44AF">
      <w:pPr>
        <w:pStyle w:val="4"/>
        <w:jc w:val="left"/>
        <w:rPr>
          <w:highlight w:val="none"/>
        </w:rPr>
      </w:pPr>
      <w:r>
        <w:rPr>
          <w:rFonts w:ascii="仿宋_GB2312" w:hAnsi="仿宋_GB2312" w:eastAsia="仿宋_GB2312" w:cs="仿宋_GB2312"/>
          <w:highlight w:val="none"/>
        </w:rPr>
        <w:t xml:space="preserve"> 住所地： ________________</w:t>
      </w:r>
    </w:p>
    <w:p w14:paraId="1CA42C2A">
      <w:pPr>
        <w:pStyle w:val="4"/>
        <w:jc w:val="left"/>
        <w:rPr>
          <w:highlight w:val="none"/>
        </w:rPr>
      </w:pPr>
      <w:r>
        <w:rPr>
          <w:rFonts w:ascii="仿宋_GB2312" w:hAnsi="仿宋_GB2312" w:eastAsia="仿宋_GB2312" w:cs="仿宋_GB2312"/>
          <w:highlight w:val="none"/>
        </w:rPr>
        <w:t xml:space="preserve"> 联系人：______________</w:t>
      </w:r>
    </w:p>
    <w:p w14:paraId="0C30779D">
      <w:pPr>
        <w:pStyle w:val="4"/>
        <w:jc w:val="left"/>
        <w:rPr>
          <w:highlight w:val="none"/>
        </w:rPr>
      </w:pPr>
      <w:r>
        <w:rPr>
          <w:rFonts w:ascii="仿宋_GB2312" w:hAnsi="仿宋_GB2312" w:eastAsia="仿宋_GB2312" w:cs="仿宋_GB2312"/>
          <w:highlight w:val="none"/>
        </w:rPr>
        <w:t xml:space="preserve"> 联系电话：______________</w:t>
      </w:r>
    </w:p>
    <w:p w14:paraId="61D60996">
      <w:pPr>
        <w:pStyle w:val="4"/>
        <w:jc w:val="left"/>
        <w:rPr>
          <w:highlight w:val="none"/>
        </w:rPr>
      </w:pPr>
      <w:r>
        <w:rPr>
          <w:rFonts w:ascii="仿宋_GB2312" w:hAnsi="仿宋_GB2312" w:eastAsia="仿宋_GB2312" w:cs="仿宋_GB2312"/>
          <w:highlight w:val="none"/>
        </w:rPr>
        <w:t xml:space="preserve"> 传真：________________</w:t>
      </w:r>
    </w:p>
    <w:p w14:paraId="2238C1DE">
      <w:pPr>
        <w:pStyle w:val="4"/>
        <w:jc w:val="left"/>
        <w:rPr>
          <w:highlight w:val="none"/>
        </w:rPr>
      </w:pPr>
      <w:r>
        <w:rPr>
          <w:rFonts w:ascii="仿宋_GB2312" w:hAnsi="仿宋_GB2312" w:eastAsia="仿宋_GB2312" w:cs="仿宋_GB2312"/>
          <w:highlight w:val="none"/>
        </w:rPr>
        <w:t xml:space="preserve"> 电子邮箱：________________</w:t>
      </w:r>
    </w:p>
    <w:p w14:paraId="4629D490">
      <w:pPr>
        <w:pStyle w:val="4"/>
        <w:jc w:val="left"/>
        <w:rPr>
          <w:highlight w:val="none"/>
        </w:rPr>
      </w:pPr>
      <w:r>
        <w:rPr>
          <w:rFonts w:ascii="仿宋_GB2312" w:hAnsi="仿宋_GB2312" w:eastAsia="仿宋_GB2312" w:cs="仿宋_GB2312"/>
          <w:highlight w:val="none"/>
        </w:rPr>
        <w:t>根据项目编号为___________ 的 __________项目（以下简称：“本项目”）的采购结果，遵循平等、自愿、公平和诚实信用的原则，双方签署本合同，具体内容如下：</w:t>
      </w:r>
    </w:p>
    <w:p w14:paraId="3DCC2AE9">
      <w:pPr>
        <w:pStyle w:val="4"/>
        <w:jc w:val="left"/>
        <w:outlineLvl w:val="3"/>
        <w:rPr>
          <w:highlight w:val="none"/>
        </w:rPr>
      </w:pPr>
      <w:r>
        <w:rPr>
          <w:rFonts w:ascii="仿宋_GB2312" w:hAnsi="仿宋_GB2312" w:eastAsia="仿宋_GB2312" w:cs="仿宋_GB2312"/>
          <w:b/>
          <w:sz w:val="24"/>
          <w:highlight w:val="none"/>
        </w:rPr>
        <w:t xml:space="preserve"> 一、合同组成部分</w:t>
      </w:r>
    </w:p>
    <w:p w14:paraId="64A92464">
      <w:pPr>
        <w:pStyle w:val="4"/>
        <w:jc w:val="left"/>
        <w:rPr>
          <w:highlight w:val="none"/>
        </w:rPr>
      </w:pPr>
      <w:r>
        <w:rPr>
          <w:rFonts w:ascii="仿宋_GB2312" w:hAnsi="仿宋_GB2312" w:eastAsia="仿宋_GB2312" w:cs="仿宋_GB2312"/>
          <w:highlight w:val="none"/>
        </w:rPr>
        <w:t>1.1本合同条款及附件；</w:t>
      </w:r>
    </w:p>
    <w:p w14:paraId="1B6C8904">
      <w:pPr>
        <w:pStyle w:val="4"/>
        <w:jc w:val="left"/>
        <w:rPr>
          <w:highlight w:val="none"/>
        </w:rPr>
      </w:pPr>
      <w:r>
        <w:rPr>
          <w:rFonts w:ascii="仿宋_GB2312" w:hAnsi="仿宋_GB2312" w:eastAsia="仿宋_GB2312" w:cs="仿宋_GB2312"/>
          <w:highlight w:val="none"/>
        </w:rPr>
        <w:t>1.2采购文件及其附件、补充文件；</w:t>
      </w:r>
    </w:p>
    <w:p w14:paraId="7C4CC194">
      <w:pPr>
        <w:pStyle w:val="4"/>
        <w:jc w:val="left"/>
        <w:rPr>
          <w:highlight w:val="none"/>
        </w:rPr>
      </w:pPr>
      <w:r>
        <w:rPr>
          <w:rFonts w:ascii="仿宋_GB2312" w:hAnsi="仿宋_GB2312" w:eastAsia="仿宋_GB2312" w:cs="仿宋_GB2312"/>
          <w:highlight w:val="none"/>
        </w:rPr>
        <w:t>1.3乙方的响应文件及其附件、补充文件；</w:t>
      </w:r>
    </w:p>
    <w:p w14:paraId="1FA37BF5">
      <w:pPr>
        <w:pStyle w:val="4"/>
        <w:jc w:val="left"/>
        <w:rPr>
          <w:highlight w:val="none"/>
        </w:rPr>
      </w:pPr>
      <w:r>
        <w:rPr>
          <w:rFonts w:ascii="仿宋_GB2312" w:hAnsi="仿宋_GB2312" w:eastAsia="仿宋_GB2312" w:cs="仿宋_GB2312"/>
          <w:highlight w:val="none"/>
        </w:rPr>
        <w:t>1.4其他文件或材料：</w:t>
      </w:r>
    </w:p>
    <w:p w14:paraId="69568177">
      <w:pPr>
        <w:pStyle w:val="4"/>
        <w:jc w:val="left"/>
        <w:outlineLvl w:val="3"/>
        <w:rPr>
          <w:highlight w:val="none"/>
        </w:rPr>
      </w:pPr>
      <w:r>
        <w:rPr>
          <w:rFonts w:ascii="仿宋_GB2312" w:hAnsi="仿宋_GB2312" w:eastAsia="仿宋_GB2312" w:cs="仿宋_GB2312"/>
          <w:b/>
          <w:sz w:val="24"/>
          <w:highlight w:val="none"/>
        </w:rPr>
        <w:t xml:space="preserve"> 二、合同标的</w:t>
      </w:r>
      <w:r>
        <w:rPr>
          <w:highlight w:val="none"/>
        </w:rPr>
        <w:br w:type="textWrapping"/>
      </w:r>
    </w:p>
    <w:p w14:paraId="67ED7F70">
      <w:pPr>
        <w:pStyle w:val="4"/>
        <w:jc w:val="left"/>
        <w:outlineLvl w:val="3"/>
        <w:rPr>
          <w:highlight w:val="none"/>
        </w:rPr>
      </w:pPr>
      <w:r>
        <w:rPr>
          <w:rFonts w:ascii="仿宋_GB2312" w:hAnsi="仿宋_GB2312" w:eastAsia="仿宋_GB2312" w:cs="仿宋_GB2312"/>
          <w:b/>
          <w:sz w:val="24"/>
          <w:highlight w:val="none"/>
        </w:rPr>
        <w:t xml:space="preserve"> 三、价格形式及合同价款</w:t>
      </w:r>
    </w:p>
    <w:p w14:paraId="31AC8573">
      <w:pPr>
        <w:pStyle w:val="4"/>
        <w:jc w:val="left"/>
        <w:outlineLvl w:val="4"/>
        <w:rPr>
          <w:highlight w:val="none"/>
        </w:rPr>
      </w:pPr>
      <w:r>
        <w:rPr>
          <w:rFonts w:ascii="仿宋_GB2312" w:hAnsi="仿宋_GB2312" w:eastAsia="仿宋_GB2312" w:cs="仿宋_GB2312"/>
          <w:b/>
          <w:sz w:val="20"/>
          <w:highlight w:val="none"/>
        </w:rPr>
        <w:t xml:space="preserve"> 3.1价格形式</w:t>
      </w:r>
    </w:p>
    <w:p w14:paraId="1653C088">
      <w:pPr>
        <w:pStyle w:val="4"/>
        <w:jc w:val="left"/>
        <w:rPr>
          <w:highlight w:val="none"/>
        </w:rPr>
      </w:pPr>
      <w:r>
        <w:rPr>
          <w:rFonts w:ascii="仿宋_GB2312" w:hAnsi="仿宋_GB2312" w:eastAsia="仿宋_GB2312" w:cs="仿宋_GB2312"/>
          <w:highlight w:val="none"/>
        </w:rPr>
        <w:t xml:space="preserve"> 固定单价合同。完成约定服务事项的含税合同单价为：人民币（大写）元（￥ _____________元）。</w:t>
      </w:r>
    </w:p>
    <w:p w14:paraId="31F3B92C">
      <w:pPr>
        <w:pStyle w:val="4"/>
        <w:spacing w:line="300" w:lineRule="auto"/>
        <w:jc w:val="left"/>
        <w:rPr>
          <w:highlight w:val="none"/>
        </w:rPr>
      </w:pPr>
      <w:r>
        <w:rPr>
          <w:rFonts w:ascii="仿宋_GB2312" w:hAnsi="仿宋_GB2312" w:eastAsia="仿宋_GB2312" w:cs="仿宋_GB2312"/>
          <w:highlight w:val="none"/>
        </w:rPr>
        <w:t xml:space="preserve"> 固定总价合同。完成约定服务事项的含税服务费用为：人民币（大写）元（￥_____________ 元）。</w:t>
      </w:r>
    </w:p>
    <w:p w14:paraId="68AE32E7">
      <w:pPr>
        <w:pStyle w:val="4"/>
        <w:spacing w:line="300" w:lineRule="auto"/>
        <w:jc w:val="left"/>
        <w:rPr>
          <w:highlight w:val="none"/>
        </w:rPr>
      </w:pPr>
      <w:r>
        <w:rPr>
          <w:rFonts w:ascii="仿宋_GB2312" w:hAnsi="仿宋_GB2312" w:eastAsia="仿宋_GB2312" w:cs="仿宋_GB2312"/>
          <w:highlight w:val="none"/>
        </w:rPr>
        <w:t xml:space="preserve"> 其他方式。</w:t>
      </w:r>
    </w:p>
    <w:p w14:paraId="71F99422">
      <w:pPr>
        <w:pStyle w:val="4"/>
        <w:spacing w:line="300" w:lineRule="auto"/>
        <w:jc w:val="left"/>
        <w:outlineLvl w:val="4"/>
        <w:rPr>
          <w:highlight w:val="none"/>
        </w:rPr>
      </w:pPr>
      <w:r>
        <w:rPr>
          <w:rFonts w:ascii="仿宋_GB2312" w:hAnsi="仿宋_GB2312" w:eastAsia="仿宋_GB2312" w:cs="仿宋_GB2312"/>
          <w:b/>
          <w:sz w:val="20"/>
          <w:highlight w:val="none"/>
        </w:rPr>
        <w:t xml:space="preserve"> 3.2合同价款包含范围</w:t>
      </w:r>
    </w:p>
    <w:p w14:paraId="738AFCBF">
      <w:pPr>
        <w:pStyle w:val="4"/>
        <w:jc w:val="left"/>
        <w:outlineLvl w:val="4"/>
        <w:rPr>
          <w:highlight w:val="none"/>
        </w:rPr>
      </w:pPr>
      <w:r>
        <w:rPr>
          <w:rFonts w:ascii="仿宋_GB2312" w:hAnsi="仿宋_GB2312" w:eastAsia="仿宋_GB2312" w:cs="仿宋_GB2312"/>
          <w:b/>
          <w:sz w:val="20"/>
          <w:highlight w:val="none"/>
        </w:rPr>
        <w:t xml:space="preserve"> 3.3其他需说明的事项：</w:t>
      </w:r>
    </w:p>
    <w:p w14:paraId="26ABBFDE">
      <w:pPr>
        <w:pStyle w:val="4"/>
        <w:jc w:val="left"/>
        <w:outlineLvl w:val="3"/>
        <w:rPr>
          <w:highlight w:val="none"/>
        </w:rPr>
      </w:pPr>
      <w:r>
        <w:rPr>
          <w:rFonts w:ascii="仿宋_GB2312" w:hAnsi="仿宋_GB2312" w:eastAsia="仿宋_GB2312" w:cs="仿宋_GB2312"/>
          <w:b/>
          <w:sz w:val="24"/>
          <w:highlight w:val="none"/>
        </w:rPr>
        <w:t xml:space="preserve"> 四、合同标的及服务范围、地点和时间</w:t>
      </w:r>
    </w:p>
    <w:p w14:paraId="3EAD3BE7">
      <w:pPr>
        <w:pStyle w:val="4"/>
        <w:jc w:val="left"/>
        <w:rPr>
          <w:highlight w:val="none"/>
        </w:rPr>
      </w:pPr>
      <w:r>
        <w:rPr>
          <w:rFonts w:ascii="仿宋_GB2312" w:hAnsi="仿宋_GB2312" w:eastAsia="仿宋_GB2312" w:cs="仿宋_GB2312"/>
          <w:highlight w:val="none"/>
        </w:rPr>
        <w:t xml:space="preserve"> 4.1项目名称： _____________</w:t>
      </w:r>
    </w:p>
    <w:p w14:paraId="268546E8">
      <w:pPr>
        <w:pStyle w:val="4"/>
        <w:jc w:val="left"/>
        <w:rPr>
          <w:highlight w:val="none"/>
        </w:rPr>
      </w:pPr>
      <w:r>
        <w:rPr>
          <w:rFonts w:ascii="仿宋_GB2312" w:hAnsi="仿宋_GB2312" w:eastAsia="仿宋_GB2312" w:cs="仿宋_GB2312"/>
          <w:highlight w:val="none"/>
        </w:rPr>
        <w:t xml:space="preserve"> 4.2服务范围：_____________</w:t>
      </w:r>
    </w:p>
    <w:p w14:paraId="44EF87E5">
      <w:pPr>
        <w:pStyle w:val="4"/>
        <w:jc w:val="left"/>
        <w:rPr>
          <w:highlight w:val="none"/>
        </w:rPr>
      </w:pPr>
      <w:r>
        <w:rPr>
          <w:rFonts w:ascii="仿宋_GB2312" w:hAnsi="仿宋_GB2312" w:eastAsia="仿宋_GB2312" w:cs="仿宋_GB2312"/>
          <w:highlight w:val="none"/>
        </w:rPr>
        <w:t xml:space="preserve"> 4.3服务地点：_____________</w:t>
      </w:r>
    </w:p>
    <w:p w14:paraId="7BDB1261">
      <w:pPr>
        <w:pStyle w:val="4"/>
        <w:jc w:val="left"/>
        <w:rPr>
          <w:highlight w:val="none"/>
        </w:rPr>
      </w:pPr>
      <w:r>
        <w:rPr>
          <w:rFonts w:ascii="仿宋_GB2312" w:hAnsi="仿宋_GB2312" w:eastAsia="仿宋_GB2312" w:cs="仿宋_GB2312"/>
          <w:highlight w:val="none"/>
        </w:rPr>
        <w:t xml:space="preserve"> 4.4服务完成时间：_____________</w:t>
      </w:r>
    </w:p>
    <w:p w14:paraId="68284DA4">
      <w:pPr>
        <w:pStyle w:val="4"/>
        <w:jc w:val="left"/>
        <w:outlineLvl w:val="3"/>
        <w:rPr>
          <w:highlight w:val="none"/>
        </w:rPr>
      </w:pPr>
      <w:r>
        <w:rPr>
          <w:rFonts w:ascii="仿宋_GB2312" w:hAnsi="仿宋_GB2312" w:eastAsia="仿宋_GB2312" w:cs="仿宋_GB2312"/>
          <w:b/>
          <w:sz w:val="24"/>
          <w:highlight w:val="none"/>
        </w:rPr>
        <w:t xml:space="preserve"> 五、服务内容、质量标准和要求</w:t>
      </w:r>
    </w:p>
    <w:p w14:paraId="7C8CD5DF">
      <w:pPr>
        <w:pStyle w:val="4"/>
        <w:jc w:val="left"/>
        <w:rPr>
          <w:highlight w:val="none"/>
        </w:rPr>
      </w:pPr>
      <w:r>
        <w:rPr>
          <w:rFonts w:ascii="仿宋_GB2312" w:hAnsi="仿宋_GB2312" w:eastAsia="仿宋_GB2312" w:cs="仿宋_GB2312"/>
          <w:highlight w:val="none"/>
        </w:rPr>
        <w:t xml:space="preserve"> 5.1服务工作量的计量方式：_____________</w:t>
      </w:r>
    </w:p>
    <w:p w14:paraId="208BF4F0">
      <w:pPr>
        <w:pStyle w:val="4"/>
        <w:jc w:val="left"/>
        <w:rPr>
          <w:highlight w:val="none"/>
        </w:rPr>
      </w:pPr>
      <w:r>
        <w:rPr>
          <w:rFonts w:ascii="仿宋_GB2312" w:hAnsi="仿宋_GB2312" w:eastAsia="仿宋_GB2312" w:cs="仿宋_GB2312"/>
          <w:highlight w:val="none"/>
        </w:rPr>
        <w:t xml:space="preserve"> 5.2服务内容：_____________</w:t>
      </w:r>
    </w:p>
    <w:p w14:paraId="39E27B5D">
      <w:pPr>
        <w:pStyle w:val="4"/>
        <w:jc w:val="left"/>
        <w:rPr>
          <w:highlight w:val="none"/>
        </w:rPr>
      </w:pPr>
      <w:r>
        <w:rPr>
          <w:rFonts w:ascii="仿宋_GB2312" w:hAnsi="仿宋_GB2312" w:eastAsia="仿宋_GB2312" w:cs="仿宋_GB2312"/>
          <w:highlight w:val="none"/>
        </w:rPr>
        <w:t xml:space="preserve"> 5.3技术保障、服务人员组成、所涉及的货物的质量标准：</w:t>
      </w:r>
    </w:p>
    <w:p w14:paraId="03BAAB44">
      <w:pPr>
        <w:pStyle w:val="4"/>
        <w:jc w:val="left"/>
        <w:rPr>
          <w:highlight w:val="none"/>
        </w:rPr>
      </w:pPr>
      <w:r>
        <w:rPr>
          <w:rFonts w:ascii="仿宋_GB2312" w:hAnsi="仿宋_GB2312" w:eastAsia="仿宋_GB2312" w:cs="仿宋_GB2312"/>
          <w:highlight w:val="none"/>
        </w:rPr>
        <w:t xml:space="preserve"> （1）服务技术保障：_____________</w:t>
      </w:r>
    </w:p>
    <w:p w14:paraId="6409044A">
      <w:pPr>
        <w:pStyle w:val="4"/>
        <w:jc w:val="left"/>
        <w:rPr>
          <w:highlight w:val="none"/>
        </w:rPr>
      </w:pPr>
      <w:r>
        <w:rPr>
          <w:rFonts w:ascii="仿宋_GB2312" w:hAnsi="仿宋_GB2312" w:eastAsia="仿宋_GB2312" w:cs="仿宋_GB2312"/>
          <w:highlight w:val="none"/>
        </w:rPr>
        <w:t xml:space="preserve"> （2）服务人员组成：_____________</w:t>
      </w:r>
    </w:p>
    <w:p w14:paraId="464D4468">
      <w:pPr>
        <w:pStyle w:val="4"/>
        <w:jc w:val="left"/>
        <w:rPr>
          <w:highlight w:val="none"/>
        </w:rPr>
      </w:pPr>
      <w:r>
        <w:rPr>
          <w:rFonts w:ascii="仿宋_GB2312" w:hAnsi="仿宋_GB2312" w:eastAsia="仿宋_GB2312" w:cs="仿宋_GB2312"/>
          <w:highlight w:val="none"/>
        </w:rPr>
        <w:t xml:space="preserve"> （3）服务设备及物资投入及质量标准：_____________</w:t>
      </w:r>
    </w:p>
    <w:p w14:paraId="38CF7B90">
      <w:pPr>
        <w:pStyle w:val="4"/>
        <w:jc w:val="left"/>
        <w:rPr>
          <w:highlight w:val="none"/>
        </w:rPr>
      </w:pPr>
      <w:r>
        <w:rPr>
          <w:rFonts w:ascii="仿宋_GB2312" w:hAnsi="仿宋_GB2312" w:eastAsia="仿宋_GB2312" w:cs="仿宋_GB2312"/>
          <w:highlight w:val="none"/>
        </w:rPr>
        <w:t xml:space="preserve"> 5.4服务质量标准及要求：</w:t>
      </w:r>
    </w:p>
    <w:p w14:paraId="403C34AA">
      <w:pPr>
        <w:pStyle w:val="4"/>
        <w:jc w:val="left"/>
        <w:rPr>
          <w:highlight w:val="none"/>
        </w:rPr>
      </w:pPr>
      <w:r>
        <w:rPr>
          <w:rFonts w:ascii="仿宋_GB2312" w:hAnsi="仿宋_GB2312" w:eastAsia="仿宋_GB2312" w:cs="仿宋_GB2312"/>
          <w:highlight w:val="none"/>
        </w:rPr>
        <w:t xml:space="preserve"> 5.4.1乙方提供的服务或使用的产品、软件等应符合国家知识产权法律、法规的规定；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14:paraId="04CE00D0">
      <w:pPr>
        <w:pStyle w:val="4"/>
        <w:jc w:val="left"/>
        <w:rPr>
          <w:highlight w:val="none"/>
        </w:rPr>
      </w:pPr>
      <w:r>
        <w:rPr>
          <w:rFonts w:ascii="仿宋_GB2312" w:hAnsi="仿宋_GB2312" w:eastAsia="仿宋_GB2312" w:cs="仿宋_GB2312"/>
          <w:highlight w:val="none"/>
        </w:rPr>
        <w:t xml:space="preserve"> 5.4.2若乙方提供的服务或使用的产品、软件等不符合国家知识产权法律、法规的规定或被有关主管机关认定为侵权或假冒伪劣品，则乙方中标或成交资格将被取消；甲方还将按照有关法律、法规和规章的规定进行处理，具体如下：</w:t>
      </w:r>
    </w:p>
    <w:p w14:paraId="71CA7E8C">
      <w:pPr>
        <w:pStyle w:val="4"/>
        <w:jc w:val="left"/>
        <w:rPr>
          <w:highlight w:val="none"/>
        </w:rPr>
      </w:pPr>
      <w:r>
        <w:rPr>
          <w:rFonts w:ascii="仿宋_GB2312" w:hAnsi="仿宋_GB2312" w:eastAsia="仿宋_GB2312" w:cs="仿宋_GB2312"/>
          <w:highlight w:val="none"/>
        </w:rPr>
        <w:t xml:space="preserve"> 5.4.3其他要求：</w:t>
      </w:r>
    </w:p>
    <w:p w14:paraId="2214F92E">
      <w:pPr>
        <w:pStyle w:val="4"/>
        <w:jc w:val="left"/>
        <w:outlineLvl w:val="3"/>
        <w:rPr>
          <w:highlight w:val="none"/>
        </w:rPr>
      </w:pPr>
      <w:r>
        <w:rPr>
          <w:rFonts w:ascii="仿宋_GB2312" w:hAnsi="仿宋_GB2312" w:eastAsia="仿宋_GB2312" w:cs="仿宋_GB2312"/>
          <w:b/>
          <w:sz w:val="24"/>
          <w:highlight w:val="none"/>
        </w:rPr>
        <w:t xml:space="preserve"> 六、服务履约验收或考核</w:t>
      </w:r>
    </w:p>
    <w:p w14:paraId="09476A0C">
      <w:pPr>
        <w:pStyle w:val="4"/>
        <w:jc w:val="left"/>
        <w:rPr>
          <w:highlight w:val="none"/>
        </w:rPr>
      </w:pPr>
      <w:r>
        <w:rPr>
          <w:rFonts w:ascii="仿宋_GB2312" w:hAnsi="仿宋_GB2312" w:eastAsia="仿宋_GB2312" w:cs="仿宋_GB2312"/>
          <w:highlight w:val="none"/>
        </w:rPr>
        <w:t xml:space="preserve"> 甲方按照采购文件、乙方的投标或响应文件和本协议约定的服务内容及质量要求按次组织对乙方所提供服务进行验收，或定期进行服务考核，并根据验收或考核结果支付服务费用。具体如下：</w:t>
      </w:r>
    </w:p>
    <w:p w14:paraId="18C7C811">
      <w:pPr>
        <w:pStyle w:val="4"/>
        <w:jc w:val="left"/>
        <w:outlineLvl w:val="3"/>
        <w:rPr>
          <w:highlight w:val="none"/>
        </w:rPr>
      </w:pPr>
      <w:r>
        <w:rPr>
          <w:rFonts w:ascii="仿宋_GB2312" w:hAnsi="仿宋_GB2312" w:eastAsia="仿宋_GB2312" w:cs="仿宋_GB2312"/>
          <w:b/>
          <w:sz w:val="24"/>
          <w:highlight w:val="none"/>
        </w:rPr>
        <w:t xml:space="preserve"> 七、甲方的权利与义务</w:t>
      </w:r>
    </w:p>
    <w:p w14:paraId="18154FDF">
      <w:pPr>
        <w:pStyle w:val="4"/>
        <w:jc w:val="left"/>
        <w:rPr>
          <w:highlight w:val="none"/>
        </w:rPr>
      </w:pPr>
      <w:r>
        <w:rPr>
          <w:rFonts w:ascii="仿宋_GB2312" w:hAnsi="仿宋_GB2312" w:eastAsia="仿宋_GB2312" w:cs="仿宋_GB2312"/>
          <w:highlight w:val="none"/>
        </w:rPr>
        <w:t xml:space="preserve"> 7.1甲方委派___________为联系人，联系方式 ___________，负责与乙方联系。如甲方联系人发生变更，甲方应书面告知乙方。</w:t>
      </w:r>
    </w:p>
    <w:p w14:paraId="403AF8A7">
      <w:pPr>
        <w:pStyle w:val="4"/>
        <w:jc w:val="left"/>
        <w:rPr>
          <w:highlight w:val="none"/>
        </w:rPr>
      </w:pPr>
      <w:r>
        <w:rPr>
          <w:rFonts w:ascii="仿宋_GB2312" w:hAnsi="仿宋_GB2312" w:eastAsia="仿宋_GB2312" w:cs="仿宋_GB2312"/>
          <w:highlight w:val="none"/>
        </w:rPr>
        <w:t xml:space="preserve"> 7.2甲方应为乙方开展服务工作提供必要的工作条件，以及对内对外沟通和配合协助。</w:t>
      </w:r>
    </w:p>
    <w:p w14:paraId="1BE21584">
      <w:pPr>
        <w:pStyle w:val="4"/>
        <w:jc w:val="left"/>
        <w:rPr>
          <w:highlight w:val="none"/>
        </w:rPr>
      </w:pPr>
      <w:r>
        <w:rPr>
          <w:rFonts w:ascii="仿宋_GB2312" w:hAnsi="仿宋_GB2312" w:eastAsia="仿宋_GB2312" w:cs="仿宋_GB2312"/>
          <w:highlight w:val="none"/>
        </w:rPr>
        <w:t xml:space="preserve"> 7.3甲方应于___________之前提供服务所需的全部资料，并对所提供材料真实性、完整性、合法性负责。</w:t>
      </w:r>
    </w:p>
    <w:p w14:paraId="46BFB96D">
      <w:pPr>
        <w:pStyle w:val="4"/>
        <w:jc w:val="left"/>
        <w:rPr>
          <w:highlight w:val="none"/>
        </w:rPr>
      </w:pPr>
      <w:r>
        <w:rPr>
          <w:rFonts w:ascii="仿宋_GB2312" w:hAnsi="仿宋_GB2312" w:eastAsia="仿宋_GB2312" w:cs="仿宋_GB2312"/>
          <w:highlight w:val="none"/>
        </w:rPr>
        <w:t xml:space="preserve"> 7.4甲方应对委托服务事项提出明确、合理的要求，并对乙方开展服务过程中需采购人确认事项及时予以确认。甲方根据乙方服务成果提出的建议、方案所做出的决定而导致的损失，非乙方及其委派人员的过错造成由甲方自行承担。</w:t>
      </w:r>
    </w:p>
    <w:p w14:paraId="7FD85CA2">
      <w:pPr>
        <w:pStyle w:val="4"/>
        <w:jc w:val="left"/>
        <w:rPr>
          <w:highlight w:val="none"/>
        </w:rPr>
      </w:pPr>
      <w:r>
        <w:rPr>
          <w:rFonts w:ascii="仿宋_GB2312" w:hAnsi="仿宋_GB2312" w:eastAsia="仿宋_GB2312" w:cs="仿宋_GB2312"/>
          <w:highlight w:val="none"/>
        </w:rPr>
        <w:t xml:space="preserve"> 7.5甲方应按本合同约定及时足额支付服务费用及相关费用。</w:t>
      </w:r>
    </w:p>
    <w:p w14:paraId="293CC9D5">
      <w:pPr>
        <w:pStyle w:val="4"/>
        <w:jc w:val="left"/>
        <w:rPr>
          <w:highlight w:val="none"/>
        </w:rPr>
      </w:pPr>
      <w:r>
        <w:rPr>
          <w:rFonts w:ascii="仿宋_GB2312" w:hAnsi="仿宋_GB2312" w:eastAsia="仿宋_GB2312" w:cs="仿宋_GB2312"/>
          <w:highlight w:val="none"/>
        </w:rPr>
        <w:t xml:space="preserve"> 7.6其他</w:t>
      </w:r>
    </w:p>
    <w:p w14:paraId="712A6D32">
      <w:pPr>
        <w:pStyle w:val="4"/>
        <w:jc w:val="left"/>
        <w:outlineLvl w:val="3"/>
        <w:rPr>
          <w:highlight w:val="none"/>
        </w:rPr>
      </w:pPr>
      <w:r>
        <w:rPr>
          <w:rFonts w:ascii="仿宋_GB2312" w:hAnsi="仿宋_GB2312" w:eastAsia="仿宋_GB2312" w:cs="仿宋_GB2312"/>
          <w:b/>
          <w:sz w:val="24"/>
          <w:highlight w:val="none"/>
        </w:rPr>
        <w:t xml:space="preserve"> 八、乙方的权利与义务</w:t>
      </w:r>
    </w:p>
    <w:p w14:paraId="37512408">
      <w:pPr>
        <w:pStyle w:val="4"/>
        <w:jc w:val="left"/>
        <w:rPr>
          <w:highlight w:val="none"/>
        </w:rPr>
      </w:pPr>
      <w:r>
        <w:rPr>
          <w:rFonts w:ascii="仿宋_GB2312" w:hAnsi="仿宋_GB2312" w:eastAsia="仿宋_GB2312" w:cs="仿宋_GB2312"/>
          <w:highlight w:val="none"/>
        </w:rPr>
        <w:t>8.1乙方委派___________为联系人，联系方式 ___________，负责与甲方联系。如乙方联系人发生变更，乙方应书面告知甲方</w:t>
      </w:r>
    </w:p>
    <w:p w14:paraId="63165EC2">
      <w:pPr>
        <w:pStyle w:val="4"/>
        <w:jc w:val="left"/>
        <w:rPr>
          <w:highlight w:val="none"/>
        </w:rPr>
      </w:pPr>
      <w:r>
        <w:rPr>
          <w:rFonts w:ascii="仿宋_GB2312" w:hAnsi="仿宋_GB2312" w:eastAsia="仿宋_GB2312" w:cs="仿宋_GB2312"/>
          <w:highlight w:val="none"/>
        </w:rPr>
        <w:t>8.2乙方应国家法律法规和{{乙方的权利与义务-响应要求-福建}}等要求开展{{乙方的权利与义务-开展服务-福建}}服务；</w:t>
      </w:r>
    </w:p>
    <w:p w14:paraId="27F513A4">
      <w:pPr>
        <w:pStyle w:val="4"/>
        <w:jc w:val="left"/>
        <w:rPr>
          <w:highlight w:val="none"/>
        </w:rPr>
      </w:pPr>
      <w:r>
        <w:rPr>
          <w:rFonts w:ascii="仿宋_GB2312" w:hAnsi="仿宋_GB2312" w:eastAsia="仿宋_GB2312" w:cs="仿宋_GB2312"/>
          <w:highlight w:val="none"/>
        </w:rPr>
        <w:t>8.3乙方及其所委派服务人员应按标准或协议约定方式出具服务成果，并对其真实性和合法性负法律责任；</w:t>
      </w:r>
    </w:p>
    <w:p w14:paraId="7BE8D626">
      <w:pPr>
        <w:pStyle w:val="4"/>
        <w:jc w:val="left"/>
        <w:rPr>
          <w:highlight w:val="none"/>
        </w:rPr>
      </w:pPr>
      <w:r>
        <w:rPr>
          <w:rFonts w:ascii="仿宋_GB2312" w:hAnsi="仿宋_GB2312" w:eastAsia="仿宋_GB2312" w:cs="仿宋_GB2312"/>
          <w:highlight w:val="none"/>
        </w:rPr>
        <w:t>8.4乙方对执行业务过程中知悉的国家秘密或甲方的商业秘密保密。除非国家法律法规及行业规范另有规定,或经甲方同意,乙方不得将其知悉的商业秘密和甲方提供的资料对外泄露。</w:t>
      </w:r>
    </w:p>
    <w:p w14:paraId="23D977A1">
      <w:pPr>
        <w:pStyle w:val="4"/>
        <w:jc w:val="left"/>
        <w:rPr>
          <w:highlight w:val="none"/>
        </w:rPr>
      </w:pPr>
      <w:r>
        <w:rPr>
          <w:rFonts w:ascii="仿宋_GB2312" w:hAnsi="仿宋_GB2312" w:eastAsia="仿宋_GB2312" w:cs="仿宋_GB2312"/>
          <w:highlight w:val="none"/>
        </w:rPr>
        <w:t>8.5乙方对服务业务应当单独建档，保存完整的工作记录，并对服务过程使用和暂存甲方的文件、材料和财物应当妥善保管。</w:t>
      </w:r>
    </w:p>
    <w:p w14:paraId="255A006E">
      <w:pPr>
        <w:pStyle w:val="4"/>
        <w:jc w:val="left"/>
        <w:rPr>
          <w:highlight w:val="none"/>
        </w:rPr>
      </w:pPr>
      <w:r>
        <w:rPr>
          <w:rFonts w:ascii="仿宋_GB2312" w:hAnsi="仿宋_GB2312" w:eastAsia="仿宋_GB2312" w:cs="仿宋_GB2312"/>
          <w:highlight w:val="none"/>
        </w:rPr>
        <w:t>8.6服务工作结束后,乙方将根据情况对甲方服务相关的管理制度及其他事项等提出改进意见。</w:t>
      </w:r>
    </w:p>
    <w:p w14:paraId="0317EC8B">
      <w:pPr>
        <w:pStyle w:val="4"/>
        <w:jc w:val="left"/>
        <w:rPr>
          <w:highlight w:val="none"/>
        </w:rPr>
      </w:pPr>
      <w:r>
        <w:rPr>
          <w:rFonts w:ascii="仿宋_GB2312" w:hAnsi="仿宋_GB2312" w:eastAsia="仿宋_GB2312" w:cs="仿宋_GB2312"/>
          <w:highlight w:val="none"/>
        </w:rPr>
        <w:t>8.7乙方完全遵守《中华人民共和国劳动合同法》有关规定和《中华人民共和国妇女权益保障法》中关于“劳动和社会保障权益”的有关要求。</w:t>
      </w:r>
    </w:p>
    <w:p w14:paraId="58BD5A4B">
      <w:pPr>
        <w:pStyle w:val="4"/>
        <w:jc w:val="left"/>
        <w:rPr>
          <w:highlight w:val="none"/>
        </w:rPr>
      </w:pPr>
      <w:r>
        <w:rPr>
          <w:rFonts w:ascii="仿宋_GB2312" w:hAnsi="仿宋_GB2312" w:eastAsia="仿宋_GB2312" w:cs="仿宋_GB2312"/>
          <w:highlight w:val="none"/>
        </w:rPr>
        <w:t>8.8其他</w:t>
      </w:r>
    </w:p>
    <w:p w14:paraId="3032D2F6">
      <w:pPr>
        <w:pStyle w:val="4"/>
        <w:jc w:val="left"/>
        <w:outlineLvl w:val="3"/>
        <w:rPr>
          <w:highlight w:val="none"/>
        </w:rPr>
      </w:pPr>
      <w:r>
        <w:rPr>
          <w:rFonts w:ascii="仿宋_GB2312" w:hAnsi="仿宋_GB2312" w:eastAsia="仿宋_GB2312" w:cs="仿宋_GB2312"/>
          <w:b/>
          <w:sz w:val="24"/>
          <w:highlight w:val="none"/>
        </w:rPr>
        <w:t xml:space="preserve"> 九、资金支付方式、时间和条件</w:t>
      </w:r>
      <w:r>
        <w:rPr>
          <w:highlight w:val="none"/>
        </w:rPr>
        <w:br w:type="textWrapping"/>
      </w:r>
    </w:p>
    <w:p w14:paraId="334A4766">
      <w:pPr>
        <w:pStyle w:val="4"/>
        <w:jc w:val="left"/>
        <w:outlineLvl w:val="3"/>
        <w:rPr>
          <w:highlight w:val="none"/>
        </w:rPr>
      </w:pPr>
      <w:r>
        <w:rPr>
          <w:rFonts w:ascii="仿宋_GB2312" w:hAnsi="仿宋_GB2312" w:eastAsia="仿宋_GB2312" w:cs="仿宋_GB2312"/>
          <w:b/>
          <w:sz w:val="24"/>
          <w:highlight w:val="none"/>
        </w:rPr>
        <w:t xml:space="preserve"> 十、履约保证金</w:t>
      </w:r>
    </w:p>
    <w:p w14:paraId="2036EC20">
      <w:pPr>
        <w:pStyle w:val="4"/>
        <w:jc w:val="left"/>
        <w:rPr>
          <w:highlight w:val="none"/>
        </w:rPr>
      </w:pPr>
      <w:r>
        <w:rPr>
          <w:rFonts w:ascii="仿宋_GB2312" w:hAnsi="仿宋_GB2312" w:eastAsia="仿宋_GB2312" w:cs="仿宋_GB2312"/>
          <w:highlight w:val="none"/>
        </w:rPr>
        <w:t xml:space="preserve"> □有，□无。具体如下：（按照采购文件规定填写）。</w:t>
      </w:r>
    </w:p>
    <w:p w14:paraId="262A66B7">
      <w:pPr>
        <w:pStyle w:val="4"/>
        <w:jc w:val="left"/>
        <w:rPr>
          <w:highlight w:val="none"/>
        </w:rPr>
      </w:pPr>
      <w:r>
        <w:rPr>
          <w:rFonts w:ascii="仿宋_GB2312" w:hAnsi="仿宋_GB2312" w:eastAsia="仿宋_GB2312" w:cs="仿宋_GB2312"/>
          <w:highlight w:val="none"/>
        </w:rPr>
        <w:t>10.1乙方向甲方缴纳人民币 / 元作为本合同的履约保证金。</w:t>
      </w:r>
    </w:p>
    <w:p w14:paraId="596DDF82">
      <w:pPr>
        <w:pStyle w:val="4"/>
        <w:jc w:val="left"/>
        <w:rPr>
          <w:highlight w:val="none"/>
        </w:rPr>
      </w:pPr>
      <w:r>
        <w:rPr>
          <w:rFonts w:ascii="仿宋_GB2312" w:hAnsi="仿宋_GB2312" w:eastAsia="仿宋_GB2312" w:cs="仿宋_GB2312"/>
          <w:highlight w:val="none"/>
        </w:rPr>
        <w:t>10.2履约保证金缴纳形式：支票/汇票/电汇/保函等非现金形式。</w:t>
      </w:r>
    </w:p>
    <w:p w14:paraId="4693A39F">
      <w:pPr>
        <w:pStyle w:val="4"/>
        <w:jc w:val="left"/>
        <w:rPr>
          <w:highlight w:val="none"/>
        </w:rPr>
      </w:pPr>
      <w:r>
        <w:rPr>
          <w:rFonts w:ascii="仿宋_GB2312" w:hAnsi="仿宋_GB2312" w:eastAsia="仿宋_GB2312" w:cs="仿宋_GB2312"/>
          <w:highlight w:val="none"/>
        </w:rPr>
        <w:t>10.3履约保证金合同履行完毕前有效，合同履行完毕后一次性结清退还。</w:t>
      </w:r>
    </w:p>
    <w:p w14:paraId="0431C7E5">
      <w:pPr>
        <w:pStyle w:val="4"/>
        <w:jc w:val="left"/>
        <w:outlineLvl w:val="3"/>
        <w:rPr>
          <w:highlight w:val="none"/>
        </w:rPr>
      </w:pPr>
      <w:r>
        <w:rPr>
          <w:rFonts w:ascii="仿宋_GB2312" w:hAnsi="仿宋_GB2312" w:eastAsia="仿宋_GB2312" w:cs="仿宋_GB2312"/>
          <w:b/>
          <w:sz w:val="24"/>
          <w:highlight w:val="none"/>
        </w:rPr>
        <w:t xml:space="preserve"> 十一、合同期限</w:t>
      </w:r>
      <w:r>
        <w:rPr>
          <w:highlight w:val="none"/>
        </w:rPr>
        <w:br w:type="textWrapping"/>
      </w:r>
    </w:p>
    <w:p w14:paraId="03D0A8BC">
      <w:pPr>
        <w:pStyle w:val="4"/>
        <w:jc w:val="left"/>
        <w:outlineLvl w:val="3"/>
        <w:rPr>
          <w:highlight w:val="none"/>
        </w:rPr>
      </w:pPr>
      <w:r>
        <w:rPr>
          <w:rFonts w:ascii="仿宋_GB2312" w:hAnsi="仿宋_GB2312" w:eastAsia="仿宋_GB2312" w:cs="仿宋_GB2312"/>
          <w:b/>
          <w:sz w:val="24"/>
          <w:highlight w:val="none"/>
        </w:rPr>
        <w:t xml:space="preserve"> 十二、保密条款</w:t>
      </w:r>
    </w:p>
    <w:p w14:paraId="078235DD">
      <w:pPr>
        <w:pStyle w:val="4"/>
        <w:jc w:val="left"/>
        <w:rPr>
          <w:highlight w:val="none"/>
        </w:rPr>
      </w:pPr>
      <w:r>
        <w:rPr>
          <w:rFonts w:ascii="仿宋_GB2312" w:hAnsi="仿宋_GB2312" w:eastAsia="仿宋_GB2312" w:cs="仿宋_GB2312"/>
          <w:highlight w:val="none"/>
        </w:rPr>
        <w:t>12.1对于在采购和合同履行过程中所获悉的属于保密的内容，甲、乙双方均负有保密义务。</w:t>
      </w:r>
    </w:p>
    <w:p w14:paraId="1ED2716C">
      <w:pPr>
        <w:pStyle w:val="4"/>
        <w:jc w:val="left"/>
        <w:rPr>
          <w:highlight w:val="none"/>
        </w:rPr>
      </w:pPr>
      <w:r>
        <w:rPr>
          <w:rFonts w:ascii="仿宋_GB2312" w:hAnsi="仿宋_GB2312" w:eastAsia="仿宋_GB2312" w:cs="仿宋_GB2312"/>
          <w:highlight w:val="none"/>
        </w:rPr>
        <w:t>12.2其他</w:t>
      </w:r>
    </w:p>
    <w:p w14:paraId="256BA119">
      <w:pPr>
        <w:pStyle w:val="4"/>
        <w:jc w:val="left"/>
        <w:outlineLvl w:val="3"/>
        <w:rPr>
          <w:highlight w:val="none"/>
        </w:rPr>
      </w:pPr>
      <w:r>
        <w:rPr>
          <w:rFonts w:ascii="仿宋_GB2312" w:hAnsi="仿宋_GB2312" w:eastAsia="仿宋_GB2312" w:cs="仿宋_GB2312"/>
          <w:b/>
          <w:sz w:val="24"/>
          <w:highlight w:val="none"/>
        </w:rPr>
        <w:t xml:space="preserve"> 十三、违约责任</w:t>
      </w:r>
    </w:p>
    <w:p w14:paraId="531ED843">
      <w:pPr>
        <w:pStyle w:val="4"/>
        <w:jc w:val="left"/>
        <w:rPr>
          <w:highlight w:val="none"/>
        </w:rPr>
      </w:pPr>
      <w:r>
        <w:rPr>
          <w:rFonts w:ascii="仿宋_GB2312" w:hAnsi="仿宋_GB2312" w:eastAsia="仿宋_GB2312" w:cs="仿宋_GB2312"/>
          <w:highlight w:val="none"/>
        </w:rPr>
        <w:t>13.1甲方违约责任</w:t>
      </w:r>
    </w:p>
    <w:p w14:paraId="52353F67">
      <w:pPr>
        <w:pStyle w:val="4"/>
        <w:jc w:val="left"/>
        <w:rPr>
          <w:highlight w:val="none"/>
        </w:rPr>
      </w:pPr>
      <w:r>
        <w:rPr>
          <w:rFonts w:ascii="仿宋_GB2312" w:hAnsi="仿宋_GB2312" w:eastAsia="仿宋_GB2312" w:cs="仿宋_GB2312"/>
          <w:highlight w:val="none"/>
        </w:rPr>
        <w:t>（1）甲方无正当理由拒绝乙方提供合格服务的，甲方应向乙方偿付所拒收合同总价________的违约金</w:t>
      </w:r>
    </w:p>
    <w:p w14:paraId="225661B2">
      <w:pPr>
        <w:pStyle w:val="4"/>
        <w:jc w:val="left"/>
        <w:rPr>
          <w:highlight w:val="none"/>
        </w:rPr>
      </w:pPr>
      <w:r>
        <w:rPr>
          <w:rFonts w:ascii="仿宋_GB2312" w:hAnsi="仿宋_GB2312" w:eastAsia="仿宋_GB2312" w:cs="仿宋_GB2312"/>
          <w:highlight w:val="none"/>
        </w:rPr>
        <w:t>（2）甲方无故逾期验收和办理合同款项支付手续的,甲方应按逾期付款总额每日________向乙方支付违约金。</w:t>
      </w:r>
    </w:p>
    <w:p w14:paraId="48103E3F">
      <w:pPr>
        <w:pStyle w:val="4"/>
        <w:jc w:val="left"/>
        <w:rPr>
          <w:highlight w:val="none"/>
        </w:rPr>
      </w:pPr>
      <w:r>
        <w:rPr>
          <w:rFonts w:ascii="仿宋_GB2312" w:hAnsi="仿宋_GB2312" w:eastAsia="仿宋_GB2312" w:cs="仿宋_GB2312"/>
          <w:highlight w:val="none"/>
        </w:rPr>
        <w:t>（3）其他违约情形</w:t>
      </w:r>
    </w:p>
    <w:p w14:paraId="7F935998">
      <w:pPr>
        <w:pStyle w:val="4"/>
        <w:jc w:val="left"/>
        <w:rPr>
          <w:highlight w:val="none"/>
        </w:rPr>
      </w:pPr>
      <w:r>
        <w:rPr>
          <w:rFonts w:ascii="仿宋_GB2312" w:hAnsi="仿宋_GB2312" w:eastAsia="仿宋_GB2312" w:cs="仿宋_GB2312"/>
          <w:highlight w:val="none"/>
        </w:rPr>
        <w:t>13.2乙方违约责任</w:t>
      </w:r>
    </w:p>
    <w:p w14:paraId="487A7830">
      <w:pPr>
        <w:pStyle w:val="4"/>
        <w:jc w:val="left"/>
        <w:rPr>
          <w:highlight w:val="none"/>
        </w:rPr>
      </w:pPr>
      <w:r>
        <w:rPr>
          <w:rFonts w:ascii="仿宋_GB2312" w:hAnsi="仿宋_GB2312" w:eastAsia="仿宋_GB2312" w:cs="仿宋_GB2312"/>
          <w:highlight w:val="none"/>
        </w:rPr>
        <w:t>（1）乙方逾期履行服务的，乙方应按逾期交付总额每日________向甲方支付违约金，由甲方从待付货款中扣除。乙方无正当理由逾期超过约定日期________仍不能交付的，视为“乙方不按合同约定履约”；</w:t>
      </w:r>
    </w:p>
    <w:p w14:paraId="7A50A473">
      <w:pPr>
        <w:pStyle w:val="4"/>
        <w:jc w:val="left"/>
        <w:rPr>
          <w:highlight w:val="none"/>
        </w:rPr>
      </w:pPr>
      <w:r>
        <w:rPr>
          <w:rFonts w:ascii="仿宋_GB2312" w:hAnsi="仿宋_GB2312" w:eastAsia="仿宋_GB2312" w:cs="仿宋_GB2312"/>
          <w:highlight w:val="none"/>
        </w:rPr>
        <w:t>（2）乙方所履行的服务不符合合同规定及《采购文件》规定标准的，甲方有权拒绝，乙方愿意整改但逾期履行的，按乙方逾期履行处理。乙方拒绝整改的，视为“乙方不按合同约定履约”</w:t>
      </w:r>
    </w:p>
    <w:p w14:paraId="2D257A35">
      <w:pPr>
        <w:pStyle w:val="4"/>
        <w:jc w:val="left"/>
        <w:rPr>
          <w:highlight w:val="none"/>
        </w:rPr>
      </w:pPr>
      <w:r>
        <w:rPr>
          <w:rFonts w:ascii="仿宋_GB2312" w:hAnsi="仿宋_GB2312" w:eastAsia="仿宋_GB2312" w:cs="仿宋_GB2312"/>
          <w:highlight w:val="none"/>
        </w:rPr>
        <w:t>（3）乙方不按合同约定履约的，甲方可以解除采购合同，并对乙方已缴纳的履约保证金作“不予退还”处理。同时，乙方须按以下约定向甲方支付违约金：</w:t>
      </w:r>
    </w:p>
    <w:p w14:paraId="426D44BD">
      <w:pPr>
        <w:pStyle w:val="4"/>
        <w:jc w:val="left"/>
        <w:rPr>
          <w:highlight w:val="none"/>
        </w:rPr>
      </w:pPr>
      <w:r>
        <w:rPr>
          <w:rFonts w:ascii="仿宋_GB2312" w:hAnsi="仿宋_GB2312" w:eastAsia="仿宋_GB2312" w:cs="仿宋_GB2312"/>
          <w:highlight w:val="none"/>
        </w:rPr>
        <w:t>（4）其他违约情形</w:t>
      </w:r>
    </w:p>
    <w:p w14:paraId="00F2E0F1">
      <w:pPr>
        <w:pStyle w:val="4"/>
        <w:jc w:val="left"/>
        <w:outlineLvl w:val="3"/>
        <w:rPr>
          <w:highlight w:val="none"/>
        </w:rPr>
      </w:pPr>
      <w:r>
        <w:rPr>
          <w:rFonts w:ascii="仿宋_GB2312" w:hAnsi="仿宋_GB2312" w:eastAsia="仿宋_GB2312" w:cs="仿宋_GB2312"/>
          <w:b/>
          <w:sz w:val="24"/>
          <w:highlight w:val="none"/>
        </w:rPr>
        <w:t xml:space="preserve"> 十四、不可抗力事件处理</w:t>
      </w:r>
    </w:p>
    <w:p w14:paraId="120F59E1">
      <w:pPr>
        <w:pStyle w:val="4"/>
        <w:jc w:val="left"/>
        <w:rPr>
          <w:highlight w:val="none"/>
        </w:rPr>
      </w:pPr>
      <w:r>
        <w:rPr>
          <w:rFonts w:ascii="仿宋_GB2312" w:hAnsi="仿宋_GB2312" w:eastAsia="仿宋_GB2312" w:cs="仿宋_GB2312"/>
          <w:highlight w:val="none"/>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14:paraId="24FFAC63">
      <w:pPr>
        <w:pStyle w:val="4"/>
        <w:jc w:val="left"/>
        <w:outlineLvl w:val="3"/>
        <w:rPr>
          <w:highlight w:val="none"/>
        </w:rPr>
      </w:pPr>
      <w:r>
        <w:rPr>
          <w:rFonts w:ascii="仿宋_GB2312" w:hAnsi="仿宋_GB2312" w:eastAsia="仿宋_GB2312" w:cs="仿宋_GB2312"/>
          <w:b/>
          <w:sz w:val="24"/>
          <w:highlight w:val="none"/>
        </w:rPr>
        <w:t xml:space="preserve"> 十五、解决争议的方法</w:t>
      </w:r>
    </w:p>
    <w:p w14:paraId="244A3636">
      <w:pPr>
        <w:pStyle w:val="4"/>
        <w:jc w:val="left"/>
        <w:rPr>
          <w:highlight w:val="none"/>
        </w:rPr>
      </w:pPr>
      <w:r>
        <w:rPr>
          <w:rFonts w:ascii="仿宋_GB2312" w:hAnsi="仿宋_GB2312" w:eastAsia="仿宋_GB2312" w:cs="仿宋_GB2312"/>
          <w:highlight w:val="none"/>
        </w:rPr>
        <w:t>15.1甲、乙双方协商解决。</w:t>
      </w:r>
    </w:p>
    <w:p w14:paraId="20F51D78">
      <w:pPr>
        <w:pStyle w:val="4"/>
        <w:jc w:val="left"/>
        <w:rPr>
          <w:highlight w:val="none"/>
        </w:rPr>
      </w:pPr>
      <w:r>
        <w:rPr>
          <w:rFonts w:ascii="仿宋_GB2312" w:hAnsi="仿宋_GB2312" w:eastAsia="仿宋_GB2312" w:cs="仿宋_GB2312"/>
          <w:highlight w:val="none"/>
        </w:rPr>
        <w:t>15.2若协商解决不成，双方明确按以下第_种方式解决：</w:t>
      </w:r>
    </w:p>
    <w:p w14:paraId="3F42EE9F">
      <w:pPr>
        <w:pStyle w:val="4"/>
        <w:jc w:val="left"/>
        <w:rPr>
          <w:highlight w:val="none"/>
        </w:rPr>
      </w:pPr>
      <w:r>
        <w:rPr>
          <w:rFonts w:ascii="仿宋_GB2312" w:hAnsi="仿宋_GB2312" w:eastAsia="仿宋_GB2312" w:cs="仿宋_GB2312"/>
          <w:highlight w:val="none"/>
        </w:rPr>
        <w:t xml:space="preserve"> 1、提交仲裁委员会仲裁，具体如下：</w:t>
      </w:r>
    </w:p>
    <w:p w14:paraId="1FE0AB12">
      <w:pPr>
        <w:pStyle w:val="4"/>
        <w:spacing w:line="300" w:lineRule="auto"/>
        <w:jc w:val="left"/>
        <w:rPr>
          <w:highlight w:val="none"/>
        </w:rPr>
      </w:pPr>
      <w:r>
        <w:rPr>
          <w:rFonts w:ascii="仿宋_GB2312" w:hAnsi="仿宋_GB2312" w:eastAsia="仿宋_GB2312" w:cs="仿宋_GB2312"/>
          <w:highlight w:val="none"/>
        </w:rPr>
        <w:t xml:space="preserve"> 2、向人民法院提起诉讼。</w:t>
      </w:r>
    </w:p>
    <w:p w14:paraId="6B381C27">
      <w:pPr>
        <w:pStyle w:val="4"/>
        <w:jc w:val="left"/>
        <w:outlineLvl w:val="3"/>
        <w:rPr>
          <w:highlight w:val="none"/>
        </w:rPr>
      </w:pPr>
      <w:r>
        <w:rPr>
          <w:rFonts w:ascii="仿宋_GB2312" w:hAnsi="仿宋_GB2312" w:eastAsia="仿宋_GB2312" w:cs="仿宋_GB2312"/>
          <w:b/>
          <w:sz w:val="24"/>
          <w:highlight w:val="none"/>
        </w:rPr>
        <w:t xml:space="preserve"> 十六、合同其他条款</w:t>
      </w:r>
      <w:r>
        <w:rPr>
          <w:highlight w:val="none"/>
        </w:rPr>
        <w:br w:type="textWrapping"/>
      </w:r>
    </w:p>
    <w:p w14:paraId="1DDF0502">
      <w:pPr>
        <w:pStyle w:val="4"/>
        <w:jc w:val="left"/>
        <w:outlineLvl w:val="3"/>
        <w:rPr>
          <w:highlight w:val="none"/>
        </w:rPr>
      </w:pPr>
      <w:r>
        <w:rPr>
          <w:rFonts w:ascii="仿宋_GB2312" w:hAnsi="仿宋_GB2312" w:eastAsia="仿宋_GB2312" w:cs="仿宋_GB2312"/>
          <w:b/>
          <w:sz w:val="24"/>
          <w:highlight w:val="none"/>
        </w:rPr>
        <w:t xml:space="preserve"> 十七、其他约定</w:t>
      </w:r>
    </w:p>
    <w:p w14:paraId="4621C22A">
      <w:pPr>
        <w:pStyle w:val="4"/>
        <w:jc w:val="left"/>
        <w:rPr>
          <w:highlight w:val="none"/>
        </w:rPr>
      </w:pPr>
      <w:r>
        <w:rPr>
          <w:rFonts w:ascii="仿宋_GB2312" w:hAnsi="仿宋_GB2312" w:eastAsia="仿宋_GB2312" w:cs="仿宋_GB2312"/>
          <w:highlight w:val="none"/>
        </w:rPr>
        <w:t>17.1合同文件与本合同具有同等法律效力。</w:t>
      </w:r>
    </w:p>
    <w:p w14:paraId="14CEFA21">
      <w:pPr>
        <w:pStyle w:val="4"/>
        <w:jc w:val="left"/>
        <w:rPr>
          <w:highlight w:val="none"/>
        </w:rPr>
      </w:pPr>
      <w:r>
        <w:rPr>
          <w:rFonts w:ascii="仿宋_GB2312" w:hAnsi="仿宋_GB2312" w:eastAsia="仿宋_GB2312" w:cs="仿宋_GB2312"/>
          <w:highlight w:val="none"/>
        </w:rPr>
        <w:t>17.2合同生效：合同经双方法定代表人或委托代理人签字并加盖单位公章后生效；通过福建省政府采购网上公开信息系统采用电子形式签订合同的，签订之日以系统记载的双方使用各自CA证书在合同上加盖单位公章或合同章的日期中的最晚时间为准。</w:t>
      </w:r>
    </w:p>
    <w:p w14:paraId="46DB239A">
      <w:pPr>
        <w:pStyle w:val="4"/>
        <w:jc w:val="left"/>
        <w:rPr>
          <w:highlight w:val="none"/>
        </w:rPr>
      </w:pPr>
      <w:r>
        <w:rPr>
          <w:rFonts w:ascii="仿宋_GB2312" w:hAnsi="仿宋_GB2312" w:eastAsia="仿宋_GB2312" w:cs="仿宋_GB2312"/>
          <w:highlight w:val="none"/>
        </w:rPr>
        <w:t>17.3本合同未尽事宜，遵照《中华人民共和国民法典》有关条文执行。</w:t>
      </w:r>
    </w:p>
    <w:p w14:paraId="4834BDB6">
      <w:pPr>
        <w:pStyle w:val="4"/>
        <w:jc w:val="left"/>
        <w:rPr>
          <w:highlight w:val="none"/>
        </w:rPr>
      </w:pPr>
      <w:r>
        <w:rPr>
          <w:rFonts w:ascii="仿宋_GB2312" w:hAnsi="仿宋_GB2312" w:eastAsia="仿宋_GB2312" w:cs="仿宋_GB2312"/>
          <w:highlight w:val="none"/>
        </w:rPr>
        <w:t>17.4本合同正本一式_______份，具有同等法律效力，甲方、乙方各执_______份；副本_______份，_______</w:t>
      </w:r>
    </w:p>
    <w:p w14:paraId="0845BDDD">
      <w:pPr>
        <w:pStyle w:val="4"/>
        <w:jc w:val="left"/>
        <w:rPr>
          <w:highlight w:val="none"/>
        </w:rPr>
      </w:pPr>
      <w:r>
        <w:rPr>
          <w:rFonts w:ascii="仿宋_GB2312" w:hAnsi="仿宋_GB2312" w:eastAsia="仿宋_GB2312" w:cs="仿宋_GB2312"/>
          <w:highlight w:val="none"/>
        </w:rPr>
        <w:t>17.5本合同已用于政府采购合同融资，为本项目提供合同融资的金融机构为：_______，甲方应及时将资金支付到本合同乙方账号。</w:t>
      </w:r>
    </w:p>
    <w:p w14:paraId="1DAAABC8">
      <w:pPr>
        <w:pStyle w:val="4"/>
        <w:jc w:val="left"/>
        <w:rPr>
          <w:highlight w:val="none"/>
        </w:rPr>
      </w:pPr>
      <w:r>
        <w:rPr>
          <w:rFonts w:ascii="仿宋_GB2312" w:hAnsi="仿宋_GB2312" w:eastAsia="仿宋_GB2312" w:cs="仿宋_GB2312"/>
          <w:highlight w:val="none"/>
        </w:rPr>
        <w:t>中标（成交）供应商应于采购合同签订之日起_______内，向发放政采贷的金融机构提交政府采购中标（成交）通知书和政府采购合同，贷款金额以政府采购合同金额为限。</w:t>
      </w:r>
    </w:p>
    <w:p w14:paraId="66CECC72">
      <w:pPr>
        <w:pStyle w:val="4"/>
        <w:jc w:val="left"/>
        <w:rPr>
          <w:highlight w:val="none"/>
        </w:rPr>
      </w:pPr>
      <w:r>
        <w:rPr>
          <w:rFonts w:ascii="仿宋_GB2312" w:hAnsi="仿宋_GB2312" w:eastAsia="仿宋_GB2312" w:cs="仿宋_GB2312"/>
          <w:highlight w:val="none"/>
        </w:rPr>
        <w:t>17.6其他</w:t>
      </w:r>
    </w:p>
    <w:p w14:paraId="285415BB">
      <w:pPr>
        <w:pStyle w:val="4"/>
        <w:jc w:val="left"/>
        <w:outlineLvl w:val="3"/>
        <w:rPr>
          <w:highlight w:val="none"/>
        </w:rPr>
      </w:pPr>
      <w:r>
        <w:rPr>
          <w:rFonts w:ascii="仿宋_GB2312" w:hAnsi="仿宋_GB2312" w:eastAsia="仿宋_GB2312" w:cs="仿宋_GB2312"/>
          <w:b/>
          <w:sz w:val="24"/>
          <w:highlight w:val="none"/>
        </w:rPr>
        <w:t xml:space="preserve"> 十八、合同附件</w:t>
      </w:r>
      <w:r>
        <w:rPr>
          <w:highlight w:val="none"/>
        </w:rPr>
        <w:br w:type="textWrapping"/>
      </w:r>
      <w:r>
        <w:rPr>
          <w:highlight w:val="none"/>
        </w:rPr>
        <w:br w:type="textWrapping"/>
      </w:r>
    </w:p>
    <w:p w14:paraId="71C10031">
      <w:pPr>
        <w:pStyle w:val="4"/>
        <w:jc w:val="left"/>
        <w:rPr>
          <w:highlight w:val="none"/>
        </w:rPr>
      </w:pPr>
      <w:r>
        <w:rPr>
          <w:rFonts w:ascii="仿宋_GB2312" w:hAnsi="仿宋_GB2312" w:eastAsia="仿宋_GB2312" w:cs="仿宋_GB2312"/>
          <w:highlight w:val="none"/>
        </w:rPr>
        <w:t xml:space="preserve"> 甲方（采购人）：</w:t>
      </w:r>
    </w:p>
    <w:p w14:paraId="6F9DE8DA">
      <w:pPr>
        <w:pStyle w:val="4"/>
        <w:jc w:val="left"/>
        <w:rPr>
          <w:highlight w:val="none"/>
        </w:rPr>
      </w:pPr>
      <w:r>
        <w:rPr>
          <w:rFonts w:ascii="仿宋_GB2312" w:hAnsi="仿宋_GB2312" w:eastAsia="仿宋_GB2312" w:cs="仿宋_GB2312"/>
          <w:highlight w:val="none"/>
        </w:rPr>
        <w:t xml:space="preserve"> 法定（授权）代表人：</w:t>
      </w:r>
    </w:p>
    <w:p w14:paraId="5CA17CE7">
      <w:pPr>
        <w:pStyle w:val="4"/>
        <w:jc w:val="left"/>
        <w:rPr>
          <w:highlight w:val="none"/>
        </w:rPr>
      </w:pPr>
      <w:r>
        <w:rPr>
          <w:rFonts w:ascii="仿宋_GB2312" w:hAnsi="仿宋_GB2312" w:eastAsia="仿宋_GB2312" w:cs="仿宋_GB2312"/>
          <w:highlight w:val="none"/>
        </w:rPr>
        <w:t xml:space="preserve"> 纳税人识别号：</w:t>
      </w:r>
    </w:p>
    <w:p w14:paraId="785FFC15">
      <w:pPr>
        <w:pStyle w:val="4"/>
        <w:jc w:val="left"/>
        <w:rPr>
          <w:highlight w:val="none"/>
        </w:rPr>
      </w:pPr>
      <w:r>
        <w:rPr>
          <w:rFonts w:ascii="仿宋_GB2312" w:hAnsi="仿宋_GB2312" w:eastAsia="仿宋_GB2312" w:cs="仿宋_GB2312"/>
          <w:highlight w:val="none"/>
        </w:rPr>
        <w:t xml:space="preserve"> 开户银行：</w:t>
      </w:r>
    </w:p>
    <w:p w14:paraId="02701CAA">
      <w:pPr>
        <w:pStyle w:val="4"/>
        <w:jc w:val="left"/>
        <w:rPr>
          <w:highlight w:val="none"/>
        </w:rPr>
      </w:pPr>
      <w:r>
        <w:rPr>
          <w:rFonts w:ascii="仿宋_GB2312" w:hAnsi="仿宋_GB2312" w:eastAsia="仿宋_GB2312" w:cs="仿宋_GB2312"/>
          <w:highlight w:val="none"/>
        </w:rPr>
        <w:t xml:space="preserve"> 账号：</w:t>
      </w:r>
    </w:p>
    <w:p w14:paraId="7FD7CFF5">
      <w:pPr>
        <w:pStyle w:val="4"/>
        <w:jc w:val="left"/>
        <w:rPr>
          <w:highlight w:val="none"/>
        </w:rPr>
      </w:pPr>
      <w:r>
        <w:rPr>
          <w:rFonts w:ascii="仿宋_GB2312" w:hAnsi="仿宋_GB2312" w:eastAsia="仿宋_GB2312" w:cs="仿宋_GB2312"/>
          <w:highlight w:val="none"/>
        </w:rPr>
        <w:t xml:space="preserve"> 乙方（中标或成交人）：</w:t>
      </w:r>
    </w:p>
    <w:p w14:paraId="6A48BF45">
      <w:pPr>
        <w:pStyle w:val="4"/>
        <w:jc w:val="left"/>
        <w:rPr>
          <w:highlight w:val="none"/>
        </w:rPr>
      </w:pPr>
      <w:r>
        <w:rPr>
          <w:rFonts w:ascii="仿宋_GB2312" w:hAnsi="仿宋_GB2312" w:eastAsia="仿宋_GB2312" w:cs="仿宋_GB2312"/>
          <w:highlight w:val="none"/>
        </w:rPr>
        <w:t xml:space="preserve"> 法定（授权）代表人：</w:t>
      </w:r>
    </w:p>
    <w:p w14:paraId="003D5FA8">
      <w:pPr>
        <w:pStyle w:val="4"/>
        <w:jc w:val="left"/>
        <w:rPr>
          <w:highlight w:val="none"/>
        </w:rPr>
      </w:pPr>
      <w:r>
        <w:rPr>
          <w:rFonts w:ascii="仿宋_GB2312" w:hAnsi="仿宋_GB2312" w:eastAsia="仿宋_GB2312" w:cs="仿宋_GB2312"/>
          <w:highlight w:val="none"/>
        </w:rPr>
        <w:t xml:space="preserve"> 纳税人识别号：</w:t>
      </w:r>
    </w:p>
    <w:p w14:paraId="33A39680">
      <w:pPr>
        <w:pStyle w:val="4"/>
        <w:jc w:val="left"/>
        <w:rPr>
          <w:highlight w:val="none"/>
        </w:rPr>
      </w:pPr>
      <w:r>
        <w:rPr>
          <w:rFonts w:ascii="仿宋_GB2312" w:hAnsi="仿宋_GB2312" w:eastAsia="仿宋_GB2312" w:cs="仿宋_GB2312"/>
          <w:highlight w:val="none"/>
        </w:rPr>
        <w:t xml:space="preserve"> 开户银行：</w:t>
      </w:r>
    </w:p>
    <w:p w14:paraId="52D7F13D">
      <w:pPr>
        <w:pStyle w:val="4"/>
        <w:jc w:val="left"/>
        <w:rPr>
          <w:highlight w:val="none"/>
        </w:rPr>
      </w:pPr>
      <w:r>
        <w:rPr>
          <w:rFonts w:ascii="仿宋_GB2312" w:hAnsi="仿宋_GB2312" w:eastAsia="仿宋_GB2312" w:cs="仿宋_GB2312"/>
          <w:highlight w:val="none"/>
        </w:rPr>
        <w:t xml:space="preserve"> 账号：</w:t>
      </w:r>
    </w:p>
    <w:p w14:paraId="03E305C9">
      <w:pPr>
        <w:pStyle w:val="4"/>
        <w:jc w:val="left"/>
        <w:rPr>
          <w:highlight w:val="none"/>
        </w:rPr>
      </w:pPr>
      <w:r>
        <w:rPr>
          <w:rFonts w:ascii="仿宋_GB2312" w:hAnsi="仿宋_GB2312" w:eastAsia="仿宋_GB2312" w:cs="仿宋_GB2312"/>
          <w:highlight w:val="none"/>
        </w:rPr>
        <w:t>签订地点：_____________</w:t>
      </w:r>
    </w:p>
    <w:p w14:paraId="40ABE883">
      <w:pPr>
        <w:pStyle w:val="4"/>
        <w:jc w:val="left"/>
        <w:rPr>
          <w:highlight w:val="none"/>
        </w:rPr>
      </w:pPr>
      <w:r>
        <w:rPr>
          <w:rFonts w:ascii="仿宋_GB2312" w:hAnsi="仿宋_GB2312" w:eastAsia="仿宋_GB2312" w:cs="仿宋_GB2312"/>
          <w:highlight w:val="none"/>
        </w:rPr>
        <w:t>签订日期：____年___月___日</w:t>
      </w:r>
    </w:p>
    <w:p w14:paraId="1E0438AB">
      <w:pPr>
        <w:pStyle w:val="4"/>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2F8565E6">
      <w:pPr>
        <w:pStyle w:val="4"/>
        <w:jc w:val="center"/>
        <w:outlineLvl w:val="1"/>
        <w:rPr>
          <w:highlight w:val="none"/>
        </w:rPr>
      </w:pPr>
      <w:r>
        <w:rPr>
          <w:rFonts w:ascii="仿宋_GB2312" w:hAnsi="仿宋_GB2312" w:eastAsia="仿宋_GB2312" w:cs="仿宋_GB2312"/>
          <w:b/>
          <w:sz w:val="36"/>
          <w:highlight w:val="none"/>
        </w:rPr>
        <w:t>第七章 电子投标文件格式</w:t>
      </w:r>
    </w:p>
    <w:p w14:paraId="4B2A7E95">
      <w:pPr>
        <w:pStyle w:val="4"/>
        <w:jc w:val="center"/>
        <w:outlineLvl w:val="2"/>
        <w:rPr>
          <w:highlight w:val="none"/>
        </w:rPr>
      </w:pPr>
      <w:r>
        <w:rPr>
          <w:rFonts w:ascii="仿宋_GB2312" w:hAnsi="仿宋_GB2312" w:eastAsia="仿宋_GB2312" w:cs="仿宋_GB2312"/>
          <w:b/>
          <w:sz w:val="28"/>
          <w:highlight w:val="none"/>
        </w:rPr>
        <w:t>编制说明</w:t>
      </w:r>
    </w:p>
    <w:p w14:paraId="65AEDD86">
      <w:pPr>
        <w:pStyle w:val="4"/>
        <w:ind w:firstLine="480"/>
        <w:jc w:val="left"/>
        <w:rPr>
          <w:highlight w:val="none"/>
        </w:rPr>
      </w:pPr>
      <w:r>
        <w:rPr>
          <w:rFonts w:ascii="仿宋_GB2312" w:hAnsi="仿宋_GB2312" w:eastAsia="仿宋_GB2312" w:cs="仿宋_GB2312"/>
          <w:highlight w:val="none"/>
        </w:rPr>
        <w:t>1、除招标文件另有规定外，本章中：</w:t>
      </w:r>
    </w:p>
    <w:p w14:paraId="033A38B7">
      <w:pPr>
        <w:pStyle w:val="4"/>
        <w:ind w:firstLine="480"/>
        <w:jc w:val="left"/>
        <w:rPr>
          <w:highlight w:val="none"/>
        </w:rPr>
      </w:pPr>
      <w:r>
        <w:rPr>
          <w:rFonts w:ascii="仿宋_GB2312" w:hAnsi="仿宋_GB2312" w:eastAsia="仿宋_GB2312" w:cs="仿宋_GB2312"/>
          <w:highlight w:val="none"/>
        </w:rPr>
        <w:t>1.1涉及投标人的“全称”：</w:t>
      </w:r>
    </w:p>
    <w:p w14:paraId="60AD7246">
      <w:pPr>
        <w:pStyle w:val="4"/>
        <w:ind w:firstLine="480"/>
        <w:jc w:val="left"/>
        <w:rPr>
          <w:highlight w:val="none"/>
        </w:rPr>
      </w:pPr>
      <w:r>
        <w:rPr>
          <w:rFonts w:ascii="仿宋_GB2312" w:hAnsi="仿宋_GB2312" w:eastAsia="仿宋_GB2312" w:cs="仿宋_GB2312"/>
          <w:highlight w:val="none"/>
        </w:rPr>
        <w:t>（1）不接受联合体投标的，指投标人的全称。</w:t>
      </w:r>
    </w:p>
    <w:p w14:paraId="1A01E661">
      <w:pPr>
        <w:pStyle w:val="4"/>
        <w:ind w:firstLine="480"/>
        <w:jc w:val="left"/>
        <w:rPr>
          <w:highlight w:val="none"/>
        </w:rPr>
      </w:pPr>
      <w:r>
        <w:rPr>
          <w:rFonts w:ascii="仿宋_GB2312" w:hAnsi="仿宋_GB2312" w:eastAsia="仿宋_GB2312" w:cs="仿宋_GB2312"/>
          <w:highlight w:val="none"/>
        </w:rPr>
        <w:t>（2）接受联合体投标且投标人为联合体的，指牵头方的全称并加注（联合体牵头方），即应表述为：“牵头方的全称（联合体牵头方）”。</w:t>
      </w:r>
    </w:p>
    <w:p w14:paraId="025FD01D">
      <w:pPr>
        <w:pStyle w:val="4"/>
        <w:ind w:firstLine="480"/>
        <w:jc w:val="left"/>
        <w:rPr>
          <w:highlight w:val="none"/>
        </w:rPr>
      </w:pPr>
      <w:r>
        <w:rPr>
          <w:rFonts w:ascii="仿宋_GB2312" w:hAnsi="仿宋_GB2312" w:eastAsia="仿宋_GB2312" w:cs="仿宋_GB2312"/>
          <w:highlight w:val="none"/>
        </w:rPr>
        <w:t>1.2涉及投标人“加盖单位公章”：</w:t>
      </w:r>
    </w:p>
    <w:p w14:paraId="3CA9743B">
      <w:pPr>
        <w:pStyle w:val="4"/>
        <w:ind w:firstLine="480"/>
        <w:jc w:val="left"/>
        <w:rPr>
          <w:highlight w:val="none"/>
        </w:rPr>
      </w:pPr>
      <w:r>
        <w:rPr>
          <w:rFonts w:ascii="仿宋_GB2312" w:hAnsi="仿宋_GB2312" w:eastAsia="仿宋_GB2312" w:cs="仿宋_GB2312"/>
          <w:highlight w:val="none"/>
        </w:rPr>
        <w:t>（1）不接受联合体投标的，指加盖投标人的单位公章。</w:t>
      </w:r>
    </w:p>
    <w:p w14:paraId="75C46B49">
      <w:pPr>
        <w:pStyle w:val="4"/>
        <w:ind w:firstLine="480"/>
        <w:jc w:val="left"/>
        <w:rPr>
          <w:highlight w:val="none"/>
        </w:rPr>
      </w:pPr>
      <w:r>
        <w:rPr>
          <w:rFonts w:ascii="仿宋_GB2312" w:hAnsi="仿宋_GB2312" w:eastAsia="仿宋_GB2312" w:cs="仿宋_GB2312"/>
          <w:highlight w:val="none"/>
        </w:rPr>
        <w:t>（2）接受联合体投标且投标人为联合体的，指加盖联合体牵头方的单位公章。</w:t>
      </w:r>
    </w:p>
    <w:p w14:paraId="122EAC2E">
      <w:pPr>
        <w:pStyle w:val="4"/>
        <w:ind w:firstLine="480"/>
        <w:jc w:val="left"/>
        <w:rPr>
          <w:highlight w:val="none"/>
        </w:rPr>
      </w:pPr>
      <w:r>
        <w:rPr>
          <w:rFonts w:ascii="仿宋_GB2312" w:hAnsi="仿宋_GB2312" w:eastAsia="仿宋_GB2312" w:cs="仿宋_GB2312"/>
          <w:highlight w:val="none"/>
        </w:rPr>
        <w:t>1.3涉及“投标人代表签字”：</w:t>
      </w:r>
    </w:p>
    <w:p w14:paraId="415C3776">
      <w:pPr>
        <w:pStyle w:val="4"/>
        <w:ind w:firstLine="480"/>
        <w:jc w:val="left"/>
        <w:rPr>
          <w:highlight w:val="none"/>
        </w:rPr>
      </w:pPr>
      <w:r>
        <w:rPr>
          <w:rFonts w:ascii="仿宋_GB2312" w:hAnsi="仿宋_GB2312" w:eastAsia="仿宋_GB2312" w:cs="仿宋_GB2312"/>
          <w:highlight w:val="none"/>
        </w:rPr>
        <w:t>（1）不接受联合体投标的，指由投标人的单位负责人或其授权的委托代理人签字，由委托代理人签字的，应提供“单位授权书”。</w:t>
      </w:r>
    </w:p>
    <w:p w14:paraId="57089B11">
      <w:pPr>
        <w:pStyle w:val="4"/>
        <w:ind w:firstLine="480"/>
        <w:jc w:val="left"/>
        <w:rPr>
          <w:highlight w:val="none"/>
        </w:rPr>
      </w:pPr>
      <w:r>
        <w:rPr>
          <w:rFonts w:ascii="仿宋_GB2312" w:hAnsi="仿宋_GB2312" w:eastAsia="仿宋_GB2312" w:cs="仿宋_GB2312"/>
          <w:highlight w:val="none"/>
        </w:rPr>
        <w:t>（2）接受联合体投标且投标人为联合体的，指由联合体牵头方的单位负责人或其授权的委托代理人签字，由委托代理人签字的，应提供“单位授权书”。</w:t>
      </w:r>
    </w:p>
    <w:p w14:paraId="28E2C9CB">
      <w:pPr>
        <w:pStyle w:val="4"/>
        <w:ind w:firstLine="480"/>
        <w:jc w:val="left"/>
        <w:rPr>
          <w:highlight w:val="none"/>
        </w:rPr>
      </w:pPr>
      <w:r>
        <w:rPr>
          <w:rFonts w:ascii="仿宋_GB2312" w:hAnsi="仿宋_GB2312" w:eastAsia="仿宋_GB2312" w:cs="仿宋_GB2312"/>
          <w:highlight w:val="none"/>
        </w:rPr>
        <w:t>1.4“其他组织”指合伙企业、非企业专业服务机构、个体工商户、农村承包经营户等。</w:t>
      </w:r>
    </w:p>
    <w:p w14:paraId="195A8D5C">
      <w:pPr>
        <w:pStyle w:val="4"/>
        <w:ind w:firstLine="480"/>
        <w:jc w:val="left"/>
        <w:rPr>
          <w:highlight w:val="none"/>
        </w:rPr>
      </w:pPr>
      <w:r>
        <w:rPr>
          <w:rFonts w:ascii="仿宋_GB2312" w:hAnsi="仿宋_GB2312" w:eastAsia="仿宋_GB2312" w:cs="仿宋_GB2312"/>
          <w:highlight w:val="none"/>
        </w:rPr>
        <w:t>1.5“自然人”指具有完全民事行为能力、能够承担民事责任和义务的中国公民。</w:t>
      </w:r>
    </w:p>
    <w:p w14:paraId="17C2BFF4">
      <w:pPr>
        <w:pStyle w:val="4"/>
        <w:ind w:firstLine="480"/>
        <w:jc w:val="left"/>
        <w:rPr>
          <w:highlight w:val="none"/>
        </w:rPr>
      </w:pPr>
      <w:r>
        <w:rPr>
          <w:rFonts w:ascii="仿宋_GB2312" w:hAnsi="仿宋_GB2312" w:eastAsia="仿宋_GB2312" w:cs="仿宋_GB2312"/>
          <w:highlight w:val="none"/>
        </w:rPr>
        <w:t>2、除招标文件另有规定外，本章中“投标人的资格及资信证明文件”：</w:t>
      </w:r>
    </w:p>
    <w:p w14:paraId="7CD2781A">
      <w:pPr>
        <w:pStyle w:val="4"/>
        <w:ind w:firstLine="480"/>
        <w:jc w:val="left"/>
        <w:rPr>
          <w:highlight w:val="none"/>
        </w:rPr>
      </w:pPr>
      <w:r>
        <w:rPr>
          <w:rFonts w:ascii="仿宋_GB2312" w:hAnsi="仿宋_GB2312" w:eastAsia="仿宋_GB2312" w:cs="仿宋_GB2312"/>
          <w:highlight w:val="none"/>
        </w:rPr>
        <w:t>2.1投标人应按照招标文件第四章第1.3条第（2）款规定及本章规定进行编制，如有必要，可增加附页，附页作为资格及资信文件的组成部分。</w:t>
      </w:r>
    </w:p>
    <w:p w14:paraId="32734E70">
      <w:pPr>
        <w:pStyle w:val="4"/>
        <w:ind w:firstLine="480"/>
        <w:jc w:val="left"/>
        <w:rPr>
          <w:highlight w:val="none"/>
        </w:rPr>
      </w:pPr>
      <w:r>
        <w:rPr>
          <w:rFonts w:ascii="仿宋_GB2312" w:hAnsi="仿宋_GB2312" w:eastAsia="仿宋_GB2312" w:cs="仿宋_GB2312"/>
          <w:highlight w:val="none"/>
        </w:rPr>
        <w:t>2.2接受联合体投标且投标人为联合体的，联合体中的各方均应按照本章第2.1条规定提交相应的全部资料。</w:t>
      </w:r>
    </w:p>
    <w:p w14:paraId="37E9892F">
      <w:pPr>
        <w:pStyle w:val="4"/>
        <w:ind w:firstLine="480"/>
        <w:jc w:val="left"/>
        <w:rPr>
          <w:highlight w:val="none"/>
        </w:rPr>
      </w:pPr>
      <w:r>
        <w:rPr>
          <w:rFonts w:ascii="仿宋_GB2312" w:hAnsi="仿宋_GB2312" w:eastAsia="仿宋_GB2312" w:cs="仿宋_GB2312"/>
          <w:highlight w:val="none"/>
        </w:rPr>
        <w:t>3、投标人对电子投标文件的索引应编制页码。</w:t>
      </w:r>
    </w:p>
    <w:p w14:paraId="5BB690EA">
      <w:pPr>
        <w:pStyle w:val="4"/>
        <w:ind w:firstLine="480"/>
        <w:jc w:val="left"/>
        <w:rPr>
          <w:highlight w:val="none"/>
        </w:rPr>
      </w:pPr>
      <w:r>
        <w:rPr>
          <w:rFonts w:ascii="仿宋_GB2312" w:hAnsi="仿宋_GB2312" w:eastAsia="仿宋_GB2312" w:cs="仿宋_GB2312"/>
          <w:highlight w:val="none"/>
        </w:rPr>
        <w:t>4、本章提供格式仅供参考，投标人应根据自身实际情况制作电子投标文件。</w:t>
      </w:r>
    </w:p>
    <w:p w14:paraId="75F4649B">
      <w:pPr>
        <w:pStyle w:val="4"/>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197BAE08">
      <w:pPr>
        <w:pStyle w:val="4"/>
        <w:jc w:val="center"/>
        <w:outlineLvl w:val="2"/>
        <w:rPr>
          <w:highlight w:val="none"/>
        </w:rPr>
      </w:pPr>
      <w:r>
        <w:rPr>
          <w:rFonts w:ascii="仿宋_GB2312" w:hAnsi="仿宋_GB2312" w:eastAsia="仿宋_GB2312" w:cs="仿宋_GB2312"/>
          <w:b/>
          <w:sz w:val="28"/>
          <w:highlight w:val="none"/>
        </w:rPr>
        <w:t>封面格式(资格及资信证明部分)</w:t>
      </w:r>
    </w:p>
    <w:p w14:paraId="4BE18B22">
      <w:pPr>
        <w:pStyle w:val="4"/>
        <w:jc w:val="center"/>
        <w:outlineLvl w:val="0"/>
        <w:rPr>
          <w:highlight w:val="none"/>
        </w:rPr>
      </w:pPr>
      <w:r>
        <w:rPr>
          <w:rFonts w:ascii="仿宋_GB2312" w:hAnsi="仿宋_GB2312" w:eastAsia="仿宋_GB2312" w:cs="仿宋_GB2312"/>
          <w:b/>
          <w:sz w:val="48"/>
          <w:highlight w:val="none"/>
        </w:rPr>
        <w:t>福建省政府采购投标文件</w:t>
      </w:r>
    </w:p>
    <w:p w14:paraId="04A3DDC9">
      <w:pPr>
        <w:pStyle w:val="4"/>
        <w:jc w:val="center"/>
        <w:outlineLvl w:val="0"/>
        <w:rPr>
          <w:highlight w:val="none"/>
        </w:rPr>
      </w:pPr>
      <w:r>
        <w:rPr>
          <w:rFonts w:ascii="仿宋_GB2312" w:hAnsi="仿宋_GB2312" w:eastAsia="仿宋_GB2312" w:cs="仿宋_GB2312"/>
          <w:b/>
          <w:sz w:val="48"/>
          <w:highlight w:val="none"/>
        </w:rPr>
        <w:t>（资格及资信证明部分）</w:t>
      </w:r>
      <w:r>
        <w:rPr>
          <w:highlight w:val="none"/>
        </w:rPr>
        <w:br w:type="textWrapping"/>
      </w:r>
      <w:r>
        <w:rPr>
          <w:highlight w:val="none"/>
        </w:rPr>
        <w:br w:type="textWrapping"/>
      </w:r>
      <w:r>
        <w:rPr>
          <w:highlight w:val="none"/>
        </w:rPr>
        <w:br w:type="textWrapping"/>
      </w:r>
    </w:p>
    <w:p w14:paraId="4256723B">
      <w:pPr>
        <w:pStyle w:val="4"/>
        <w:jc w:val="center"/>
        <w:outlineLvl w:val="1"/>
        <w:rPr>
          <w:highlight w:val="none"/>
        </w:rPr>
      </w:pPr>
      <w:r>
        <w:rPr>
          <w:rFonts w:ascii="仿宋_GB2312" w:hAnsi="仿宋_GB2312" w:eastAsia="仿宋_GB2312" w:cs="仿宋_GB2312"/>
          <w:b/>
          <w:sz w:val="36"/>
          <w:highlight w:val="none"/>
        </w:rPr>
        <w:t>（填写正本或副本）</w:t>
      </w:r>
      <w:r>
        <w:rPr>
          <w:highlight w:val="none"/>
        </w:rPr>
        <w:br w:type="textWrapping"/>
      </w:r>
      <w:r>
        <w:rPr>
          <w:highlight w:val="none"/>
        </w:rPr>
        <w:br w:type="textWrapping"/>
      </w:r>
      <w:r>
        <w:rPr>
          <w:highlight w:val="none"/>
        </w:rPr>
        <w:br w:type="textWrapping"/>
      </w:r>
      <w:r>
        <w:rPr>
          <w:highlight w:val="none"/>
        </w:rPr>
        <w:br w:type="textWrapping"/>
      </w:r>
      <w:r>
        <w:rPr>
          <w:highlight w:val="none"/>
        </w:rPr>
        <w:br w:type="textWrapping"/>
      </w:r>
    </w:p>
    <w:p w14:paraId="34BE9DF6">
      <w:pPr>
        <w:pStyle w:val="4"/>
        <w:jc w:val="center"/>
        <w:outlineLvl w:val="2"/>
        <w:rPr>
          <w:highlight w:val="none"/>
        </w:rPr>
      </w:pPr>
      <w:r>
        <w:rPr>
          <w:rFonts w:ascii="仿宋_GB2312" w:hAnsi="仿宋_GB2312" w:eastAsia="仿宋_GB2312" w:cs="仿宋_GB2312"/>
          <w:b/>
          <w:sz w:val="28"/>
          <w:highlight w:val="none"/>
        </w:rPr>
        <w:t>（项目名称：（由投标人填写）</w:t>
      </w:r>
    </w:p>
    <w:p w14:paraId="5DBB2E3B">
      <w:pPr>
        <w:pStyle w:val="4"/>
        <w:jc w:val="center"/>
        <w:outlineLvl w:val="2"/>
        <w:rPr>
          <w:highlight w:val="none"/>
        </w:rPr>
      </w:pPr>
      <w:r>
        <w:rPr>
          <w:rFonts w:ascii="仿宋_GB2312" w:hAnsi="仿宋_GB2312" w:eastAsia="仿宋_GB2312" w:cs="仿宋_GB2312"/>
          <w:b/>
          <w:sz w:val="28"/>
          <w:highlight w:val="none"/>
        </w:rPr>
        <w:t>（备案编号：（由投标人填写）</w:t>
      </w:r>
    </w:p>
    <w:p w14:paraId="35D8C279">
      <w:pPr>
        <w:pStyle w:val="4"/>
        <w:jc w:val="center"/>
        <w:outlineLvl w:val="2"/>
        <w:rPr>
          <w:highlight w:val="none"/>
        </w:rPr>
      </w:pPr>
      <w:r>
        <w:rPr>
          <w:rFonts w:ascii="仿宋_GB2312" w:hAnsi="仿宋_GB2312" w:eastAsia="仿宋_GB2312" w:cs="仿宋_GB2312"/>
          <w:b/>
          <w:sz w:val="28"/>
          <w:highlight w:val="none"/>
        </w:rPr>
        <w:t>（项目编号：（由投标人填写）</w:t>
      </w:r>
    </w:p>
    <w:p w14:paraId="1E3643AF">
      <w:pPr>
        <w:pStyle w:val="4"/>
        <w:jc w:val="center"/>
        <w:outlineLvl w:val="2"/>
        <w:rPr>
          <w:highlight w:val="none"/>
        </w:rPr>
      </w:pPr>
      <w:r>
        <w:rPr>
          <w:rFonts w:ascii="仿宋_GB2312" w:hAnsi="仿宋_GB2312" w:eastAsia="仿宋_GB2312" w:cs="仿宋_GB2312"/>
          <w:b/>
          <w:sz w:val="28"/>
          <w:highlight w:val="none"/>
        </w:rPr>
        <w:t>（所投采购包：（由投标人填写）</w:t>
      </w:r>
      <w:r>
        <w:rPr>
          <w:highlight w:val="none"/>
        </w:rPr>
        <w:br w:type="textWrapping"/>
      </w:r>
      <w:r>
        <w:rPr>
          <w:highlight w:val="none"/>
        </w:rPr>
        <w:br w:type="textWrapping"/>
      </w:r>
    </w:p>
    <w:p w14:paraId="3DB64C4E">
      <w:pPr>
        <w:pStyle w:val="4"/>
        <w:jc w:val="center"/>
        <w:outlineLvl w:val="2"/>
        <w:rPr>
          <w:highlight w:val="none"/>
        </w:rPr>
      </w:pPr>
      <w:r>
        <w:rPr>
          <w:rFonts w:ascii="仿宋_GB2312" w:hAnsi="仿宋_GB2312" w:eastAsia="仿宋_GB2312" w:cs="仿宋_GB2312"/>
          <w:b/>
          <w:sz w:val="28"/>
          <w:highlight w:val="none"/>
        </w:rPr>
        <w:t>投标人：（填写“全称”）</w:t>
      </w:r>
    </w:p>
    <w:p w14:paraId="6AD8F76A">
      <w:pPr>
        <w:pStyle w:val="4"/>
        <w:jc w:val="center"/>
        <w:outlineLvl w:val="2"/>
        <w:rPr>
          <w:highlight w:val="none"/>
        </w:rPr>
      </w:pPr>
      <w:r>
        <w:rPr>
          <w:rFonts w:ascii="仿宋_GB2312" w:hAnsi="仿宋_GB2312" w:eastAsia="仿宋_GB2312" w:cs="仿宋_GB2312"/>
          <w:b/>
          <w:sz w:val="28"/>
          <w:highlight w:val="none"/>
        </w:rPr>
        <w:t>（由投标人填写）年（由投标人填写）月</w:t>
      </w:r>
    </w:p>
    <w:p w14:paraId="5CBE31C0">
      <w:pPr>
        <w:pStyle w:val="4"/>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63365372">
      <w:pPr>
        <w:pStyle w:val="4"/>
        <w:jc w:val="center"/>
        <w:outlineLvl w:val="2"/>
        <w:rPr>
          <w:highlight w:val="none"/>
        </w:rPr>
      </w:pPr>
      <w:r>
        <w:rPr>
          <w:rFonts w:ascii="仿宋_GB2312" w:hAnsi="仿宋_GB2312" w:eastAsia="仿宋_GB2312" w:cs="仿宋_GB2312"/>
          <w:b/>
          <w:sz w:val="28"/>
          <w:highlight w:val="none"/>
        </w:rPr>
        <w:t>索引</w:t>
      </w:r>
    </w:p>
    <w:p w14:paraId="20A24780">
      <w:pPr>
        <w:pStyle w:val="4"/>
        <w:ind w:firstLine="480"/>
        <w:jc w:val="left"/>
        <w:rPr>
          <w:highlight w:val="none"/>
        </w:rPr>
      </w:pPr>
      <w:r>
        <w:rPr>
          <w:rFonts w:ascii="仿宋_GB2312" w:hAnsi="仿宋_GB2312" w:eastAsia="仿宋_GB2312" w:cs="仿宋_GB2312"/>
          <w:highlight w:val="none"/>
        </w:rPr>
        <w:t>一、投标函</w:t>
      </w:r>
    </w:p>
    <w:p w14:paraId="64FDFDE6">
      <w:pPr>
        <w:pStyle w:val="4"/>
        <w:ind w:firstLine="480"/>
        <w:jc w:val="left"/>
        <w:rPr>
          <w:highlight w:val="none"/>
        </w:rPr>
      </w:pPr>
      <w:r>
        <w:rPr>
          <w:rFonts w:ascii="仿宋_GB2312" w:hAnsi="仿宋_GB2312" w:eastAsia="仿宋_GB2312" w:cs="仿宋_GB2312"/>
          <w:highlight w:val="none"/>
        </w:rPr>
        <w:t>二、投标人的资格及资信证明文件</w:t>
      </w:r>
    </w:p>
    <w:p w14:paraId="77164C7B">
      <w:pPr>
        <w:pStyle w:val="4"/>
        <w:ind w:firstLine="480"/>
        <w:jc w:val="left"/>
        <w:rPr>
          <w:highlight w:val="none"/>
        </w:rPr>
      </w:pPr>
      <w:r>
        <w:rPr>
          <w:rFonts w:ascii="仿宋_GB2312" w:hAnsi="仿宋_GB2312" w:eastAsia="仿宋_GB2312" w:cs="仿宋_GB2312"/>
          <w:highlight w:val="none"/>
        </w:rPr>
        <w:t>三、投标保证金</w:t>
      </w:r>
    </w:p>
    <w:p w14:paraId="20453FA5">
      <w:pPr>
        <w:pStyle w:val="4"/>
        <w:ind w:firstLine="480"/>
        <w:jc w:val="left"/>
        <w:rPr>
          <w:highlight w:val="none"/>
        </w:rPr>
      </w:pPr>
      <w:r>
        <w:rPr>
          <w:rFonts w:ascii="仿宋_GB2312" w:hAnsi="仿宋_GB2312" w:eastAsia="仿宋_GB2312" w:cs="仿宋_GB2312"/>
          <w:highlight w:val="none"/>
        </w:rPr>
        <w:t>※注意</w:t>
      </w:r>
    </w:p>
    <w:p w14:paraId="28975D19">
      <w:pPr>
        <w:pStyle w:val="4"/>
        <w:ind w:firstLine="480"/>
        <w:jc w:val="left"/>
        <w:rPr>
          <w:highlight w:val="none"/>
        </w:rPr>
      </w:pPr>
      <w:r>
        <w:rPr>
          <w:rFonts w:ascii="仿宋_GB2312" w:hAnsi="仿宋_GB2312" w:eastAsia="仿宋_GB2312" w:cs="仿宋_GB2312"/>
          <w:highlight w:val="none"/>
        </w:rPr>
        <w:t>资格及资信证明部分中不得出现报价部分的全部或部分的投标报价信息（或组成资料），否则资格审查不合格。（联合体协议及分包意向协议中的比例规定，不适用本条款）</w:t>
      </w:r>
    </w:p>
    <w:p w14:paraId="57E59D65">
      <w:pPr>
        <w:pStyle w:val="4"/>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41FA44CA">
      <w:pPr>
        <w:pStyle w:val="4"/>
        <w:jc w:val="center"/>
        <w:outlineLvl w:val="2"/>
        <w:rPr>
          <w:highlight w:val="none"/>
        </w:rPr>
      </w:pPr>
      <w:r>
        <w:rPr>
          <w:rFonts w:ascii="仿宋_GB2312" w:hAnsi="仿宋_GB2312" w:eastAsia="仿宋_GB2312" w:cs="仿宋_GB2312"/>
          <w:b/>
          <w:sz w:val="28"/>
          <w:highlight w:val="none"/>
        </w:rPr>
        <w:t>一、投标函</w:t>
      </w:r>
    </w:p>
    <w:p w14:paraId="0772CA06">
      <w:pPr>
        <w:pStyle w:val="4"/>
        <w:ind w:firstLine="480"/>
        <w:jc w:val="left"/>
        <w:rPr>
          <w:highlight w:val="none"/>
        </w:rPr>
      </w:pPr>
      <w:r>
        <w:rPr>
          <w:rFonts w:ascii="仿宋_GB2312" w:hAnsi="仿宋_GB2312" w:eastAsia="仿宋_GB2312" w:cs="仿宋_GB2312"/>
          <w:highlight w:val="none"/>
        </w:rPr>
        <w:t>致：</w:t>
      </w:r>
      <w:r>
        <w:rPr>
          <w:rFonts w:ascii="仿宋_GB2312" w:hAnsi="仿宋_GB2312" w:eastAsia="仿宋_GB2312" w:cs="仿宋_GB2312"/>
          <w:highlight w:val="none"/>
          <w:u w:val="single"/>
        </w:rPr>
        <w:t>（采购人或采购代理机构）</w:t>
      </w:r>
    </w:p>
    <w:p w14:paraId="48F9032E">
      <w:pPr>
        <w:pStyle w:val="4"/>
        <w:ind w:firstLine="480"/>
        <w:jc w:val="left"/>
        <w:rPr>
          <w:highlight w:val="none"/>
        </w:rPr>
      </w:pPr>
      <w:r>
        <w:rPr>
          <w:rFonts w:ascii="仿宋_GB2312" w:hAnsi="仿宋_GB2312" w:eastAsia="仿宋_GB2312" w:cs="仿宋_GB2312"/>
          <w:highlight w:val="none"/>
        </w:rPr>
        <w:t>兹收到贵单位关于</w:t>
      </w:r>
      <w:r>
        <w:rPr>
          <w:rFonts w:ascii="仿宋_GB2312" w:hAnsi="仿宋_GB2312" w:eastAsia="仿宋_GB2312" w:cs="仿宋_GB2312"/>
          <w:highlight w:val="none"/>
          <w:u w:val="single"/>
        </w:rPr>
        <w:t xml:space="preserve">（填写“项目名称”） </w:t>
      </w:r>
      <w:r>
        <w:rPr>
          <w:rFonts w:ascii="仿宋_GB2312" w:hAnsi="仿宋_GB2312" w:eastAsia="仿宋_GB2312" w:cs="仿宋_GB2312"/>
          <w:highlight w:val="none"/>
        </w:rPr>
        <w:t>项目</w:t>
      </w:r>
      <w:r>
        <w:rPr>
          <w:rFonts w:ascii="仿宋_GB2312" w:hAnsi="仿宋_GB2312" w:eastAsia="仿宋_GB2312" w:cs="仿宋_GB2312"/>
          <w:highlight w:val="none"/>
          <w:u w:val="single"/>
        </w:rPr>
        <w:t xml:space="preserve">（项目编号：　　　　　） </w:t>
      </w:r>
      <w:r>
        <w:rPr>
          <w:rFonts w:ascii="仿宋_GB2312" w:hAnsi="仿宋_GB2312" w:eastAsia="仿宋_GB2312" w:cs="仿宋_GB2312"/>
          <w:highlight w:val="none"/>
        </w:rPr>
        <w:t>的投标邀请，本投标人代表</w:t>
      </w:r>
      <w:r>
        <w:rPr>
          <w:rFonts w:ascii="仿宋_GB2312" w:hAnsi="仿宋_GB2312" w:eastAsia="仿宋_GB2312" w:cs="仿宋_GB2312"/>
          <w:highlight w:val="none"/>
          <w:u w:val="single"/>
        </w:rPr>
        <w:t xml:space="preserve">（填写“全名”） </w:t>
      </w:r>
      <w:r>
        <w:rPr>
          <w:rFonts w:ascii="仿宋_GB2312" w:hAnsi="仿宋_GB2312" w:eastAsia="仿宋_GB2312" w:cs="仿宋_GB2312"/>
          <w:highlight w:val="none"/>
        </w:rPr>
        <w:t>已获得我方正式授权并代表投标人（填写“全称”）参加投标，并提交电子投标文件。我方提交的全部电子投标文件由下述部分组成：</w:t>
      </w:r>
    </w:p>
    <w:p w14:paraId="6C6FFD5E">
      <w:pPr>
        <w:pStyle w:val="4"/>
        <w:ind w:firstLine="480"/>
        <w:jc w:val="left"/>
        <w:rPr>
          <w:highlight w:val="none"/>
        </w:rPr>
      </w:pPr>
      <w:r>
        <w:rPr>
          <w:rFonts w:ascii="仿宋_GB2312" w:hAnsi="仿宋_GB2312" w:eastAsia="仿宋_GB2312" w:cs="仿宋_GB2312"/>
          <w:highlight w:val="none"/>
        </w:rPr>
        <w:t>（1）资格及资信证明部分</w:t>
      </w:r>
    </w:p>
    <w:p w14:paraId="78691881">
      <w:pPr>
        <w:pStyle w:val="4"/>
        <w:ind w:firstLine="480"/>
        <w:jc w:val="left"/>
        <w:rPr>
          <w:highlight w:val="none"/>
        </w:rPr>
      </w:pPr>
      <w:r>
        <w:rPr>
          <w:rFonts w:ascii="仿宋_GB2312" w:hAnsi="仿宋_GB2312" w:eastAsia="仿宋_GB2312" w:cs="仿宋_GB2312"/>
          <w:highlight w:val="none"/>
        </w:rPr>
        <w:t>①投标函</w:t>
      </w:r>
    </w:p>
    <w:p w14:paraId="4E5D4E82">
      <w:pPr>
        <w:pStyle w:val="4"/>
        <w:ind w:firstLine="480"/>
        <w:jc w:val="left"/>
        <w:rPr>
          <w:highlight w:val="none"/>
        </w:rPr>
      </w:pPr>
      <w:r>
        <w:rPr>
          <w:rFonts w:ascii="仿宋_GB2312" w:hAnsi="仿宋_GB2312" w:eastAsia="仿宋_GB2312" w:cs="仿宋_GB2312"/>
          <w:highlight w:val="none"/>
        </w:rPr>
        <w:t>②投标人的资格及资信证明文件</w:t>
      </w:r>
    </w:p>
    <w:p w14:paraId="22CA047C">
      <w:pPr>
        <w:pStyle w:val="4"/>
        <w:ind w:firstLine="480"/>
        <w:jc w:val="left"/>
        <w:rPr>
          <w:highlight w:val="none"/>
        </w:rPr>
      </w:pPr>
      <w:r>
        <w:rPr>
          <w:rFonts w:ascii="仿宋_GB2312" w:hAnsi="仿宋_GB2312" w:eastAsia="仿宋_GB2312" w:cs="仿宋_GB2312"/>
          <w:highlight w:val="none"/>
        </w:rPr>
        <w:t>③投标保证金</w:t>
      </w:r>
    </w:p>
    <w:p w14:paraId="417F3CDE">
      <w:pPr>
        <w:pStyle w:val="4"/>
        <w:ind w:firstLine="480"/>
        <w:jc w:val="left"/>
        <w:rPr>
          <w:highlight w:val="none"/>
        </w:rPr>
      </w:pPr>
      <w:r>
        <w:rPr>
          <w:rFonts w:ascii="仿宋_GB2312" w:hAnsi="仿宋_GB2312" w:eastAsia="仿宋_GB2312" w:cs="仿宋_GB2312"/>
          <w:highlight w:val="none"/>
        </w:rPr>
        <w:t>（2）报价部分</w:t>
      </w:r>
    </w:p>
    <w:p w14:paraId="6B422F9E">
      <w:pPr>
        <w:pStyle w:val="4"/>
        <w:ind w:firstLine="480"/>
        <w:jc w:val="left"/>
        <w:rPr>
          <w:highlight w:val="none"/>
        </w:rPr>
      </w:pPr>
      <w:r>
        <w:rPr>
          <w:rFonts w:ascii="仿宋_GB2312" w:hAnsi="仿宋_GB2312" w:eastAsia="仿宋_GB2312" w:cs="仿宋_GB2312"/>
          <w:highlight w:val="none"/>
        </w:rPr>
        <w:t>①开标一览表</w:t>
      </w:r>
    </w:p>
    <w:p w14:paraId="013CCD24">
      <w:pPr>
        <w:pStyle w:val="4"/>
        <w:ind w:firstLine="480"/>
        <w:jc w:val="left"/>
        <w:rPr>
          <w:highlight w:val="none"/>
        </w:rPr>
      </w:pPr>
      <w:r>
        <w:rPr>
          <w:rFonts w:ascii="仿宋_GB2312" w:hAnsi="仿宋_GB2312" w:eastAsia="仿宋_GB2312" w:cs="仿宋_GB2312"/>
          <w:highlight w:val="none"/>
        </w:rPr>
        <w:t>②投标分项报价表</w:t>
      </w:r>
    </w:p>
    <w:p w14:paraId="2EE886D8">
      <w:pPr>
        <w:pStyle w:val="4"/>
        <w:ind w:firstLine="480"/>
        <w:jc w:val="left"/>
        <w:rPr>
          <w:highlight w:val="none"/>
        </w:rPr>
      </w:pPr>
      <w:r>
        <w:rPr>
          <w:rFonts w:ascii="仿宋_GB2312" w:hAnsi="仿宋_GB2312" w:eastAsia="仿宋_GB2312" w:cs="仿宋_GB2312"/>
          <w:highlight w:val="none"/>
        </w:rPr>
        <w:t>③招标文件规定的价格扣除证明材料（若有）</w:t>
      </w:r>
    </w:p>
    <w:p w14:paraId="7938F9DE">
      <w:pPr>
        <w:pStyle w:val="4"/>
        <w:ind w:firstLine="480"/>
        <w:jc w:val="left"/>
        <w:rPr>
          <w:highlight w:val="none"/>
        </w:rPr>
      </w:pPr>
      <w:r>
        <w:rPr>
          <w:rFonts w:ascii="仿宋_GB2312" w:hAnsi="仿宋_GB2312" w:eastAsia="仿宋_GB2312" w:cs="仿宋_GB2312"/>
          <w:highlight w:val="none"/>
        </w:rPr>
        <w:t>④招标文件规定的加分证明材料（若有）</w:t>
      </w:r>
    </w:p>
    <w:p w14:paraId="0331E639">
      <w:pPr>
        <w:pStyle w:val="4"/>
        <w:ind w:firstLine="480"/>
        <w:jc w:val="left"/>
        <w:rPr>
          <w:highlight w:val="none"/>
        </w:rPr>
      </w:pPr>
      <w:r>
        <w:rPr>
          <w:rFonts w:ascii="仿宋_GB2312" w:hAnsi="仿宋_GB2312" w:eastAsia="仿宋_GB2312" w:cs="仿宋_GB2312"/>
          <w:highlight w:val="none"/>
        </w:rPr>
        <w:t>（3）技术商务部分</w:t>
      </w:r>
    </w:p>
    <w:p w14:paraId="6ECE74D2">
      <w:pPr>
        <w:pStyle w:val="4"/>
        <w:ind w:firstLine="480"/>
        <w:jc w:val="left"/>
        <w:rPr>
          <w:highlight w:val="none"/>
        </w:rPr>
      </w:pPr>
      <w:r>
        <w:rPr>
          <w:rFonts w:ascii="仿宋_GB2312" w:hAnsi="仿宋_GB2312" w:eastAsia="仿宋_GB2312" w:cs="仿宋_GB2312"/>
          <w:highlight w:val="none"/>
        </w:rPr>
        <w:t>①标的说明一览表</w:t>
      </w:r>
    </w:p>
    <w:p w14:paraId="13237CA0">
      <w:pPr>
        <w:pStyle w:val="4"/>
        <w:ind w:firstLine="480"/>
        <w:jc w:val="left"/>
        <w:rPr>
          <w:highlight w:val="none"/>
        </w:rPr>
      </w:pPr>
      <w:r>
        <w:rPr>
          <w:rFonts w:ascii="仿宋_GB2312" w:hAnsi="仿宋_GB2312" w:eastAsia="仿宋_GB2312" w:cs="仿宋_GB2312"/>
          <w:highlight w:val="none"/>
        </w:rPr>
        <w:t>②技术和服务要求响应表</w:t>
      </w:r>
    </w:p>
    <w:p w14:paraId="101A2012">
      <w:pPr>
        <w:pStyle w:val="4"/>
        <w:ind w:firstLine="480"/>
        <w:jc w:val="left"/>
        <w:rPr>
          <w:highlight w:val="none"/>
        </w:rPr>
      </w:pPr>
      <w:r>
        <w:rPr>
          <w:rFonts w:ascii="仿宋_GB2312" w:hAnsi="仿宋_GB2312" w:eastAsia="仿宋_GB2312" w:cs="仿宋_GB2312"/>
          <w:highlight w:val="none"/>
        </w:rPr>
        <w:t>③商务条件响应表</w:t>
      </w:r>
    </w:p>
    <w:p w14:paraId="5F8EB9DD">
      <w:pPr>
        <w:pStyle w:val="4"/>
        <w:ind w:firstLine="480"/>
        <w:jc w:val="left"/>
        <w:rPr>
          <w:highlight w:val="none"/>
        </w:rPr>
      </w:pPr>
      <w:r>
        <w:rPr>
          <w:rFonts w:ascii="仿宋_GB2312" w:hAnsi="仿宋_GB2312" w:eastAsia="仿宋_GB2312" w:cs="仿宋_GB2312"/>
          <w:highlight w:val="none"/>
        </w:rPr>
        <w:t>④投标人提交的其他资料（若有）</w:t>
      </w:r>
    </w:p>
    <w:p w14:paraId="5CA2B8B6">
      <w:pPr>
        <w:pStyle w:val="4"/>
        <w:ind w:firstLine="480"/>
        <w:jc w:val="left"/>
        <w:rPr>
          <w:highlight w:val="none"/>
        </w:rPr>
      </w:pPr>
      <w:r>
        <w:rPr>
          <w:rFonts w:ascii="仿宋_GB2312" w:hAnsi="仿宋_GB2312" w:eastAsia="仿宋_GB2312" w:cs="仿宋_GB2312"/>
          <w:highlight w:val="none"/>
        </w:rPr>
        <w:t>根据本函，本投标人代表宣布我方保证遵守招标文件的全部规定，同时：</w:t>
      </w:r>
    </w:p>
    <w:p w14:paraId="6B8239E9">
      <w:pPr>
        <w:pStyle w:val="4"/>
        <w:ind w:firstLine="480"/>
        <w:jc w:val="left"/>
        <w:rPr>
          <w:highlight w:val="none"/>
        </w:rPr>
      </w:pPr>
      <w:r>
        <w:rPr>
          <w:rFonts w:ascii="仿宋_GB2312" w:hAnsi="仿宋_GB2312" w:eastAsia="仿宋_GB2312" w:cs="仿宋_GB2312"/>
          <w:highlight w:val="none"/>
        </w:rPr>
        <w:t>1、确认：</w:t>
      </w:r>
    </w:p>
    <w:p w14:paraId="10A98788">
      <w:pPr>
        <w:pStyle w:val="4"/>
        <w:ind w:firstLine="480"/>
        <w:jc w:val="left"/>
        <w:rPr>
          <w:highlight w:val="none"/>
        </w:rPr>
      </w:pPr>
      <w:r>
        <w:rPr>
          <w:rFonts w:ascii="仿宋_GB2312" w:hAnsi="仿宋_GB2312" w:eastAsia="仿宋_GB2312" w:cs="仿宋_GB2312"/>
          <w:highlight w:val="none"/>
        </w:rPr>
        <w:t>1.1所投采购包的投标报价详见“开标一览表”及“投标分项报价表”。</w:t>
      </w:r>
    </w:p>
    <w:p w14:paraId="2FE50C6C">
      <w:pPr>
        <w:pStyle w:val="4"/>
        <w:ind w:firstLine="480"/>
        <w:jc w:val="left"/>
        <w:rPr>
          <w:highlight w:val="none"/>
        </w:rPr>
      </w:pPr>
      <w:r>
        <w:rPr>
          <w:rFonts w:ascii="仿宋_GB2312" w:hAnsi="仿宋_GB2312" w:eastAsia="仿宋_GB2312" w:cs="仿宋_GB2312"/>
          <w:highlight w:val="none"/>
        </w:rPr>
        <w:t>1.2我方已详细审查全部招标文件[包括但不限于：有关附件（若有）、澄清或修改（若有）等]，并自行承担因对全部招标文件理解不正确或误解而产生的相应后果和责任。</w:t>
      </w:r>
    </w:p>
    <w:p w14:paraId="7F029196">
      <w:pPr>
        <w:pStyle w:val="4"/>
        <w:ind w:firstLine="480"/>
        <w:jc w:val="left"/>
        <w:rPr>
          <w:highlight w:val="none"/>
        </w:rPr>
      </w:pPr>
      <w:r>
        <w:rPr>
          <w:rFonts w:ascii="仿宋_GB2312" w:hAnsi="仿宋_GB2312" w:eastAsia="仿宋_GB2312" w:cs="仿宋_GB2312"/>
          <w:highlight w:val="none"/>
        </w:rPr>
        <w:t>2、承诺及声明：</w:t>
      </w:r>
    </w:p>
    <w:p w14:paraId="60B9A8B4">
      <w:pPr>
        <w:pStyle w:val="4"/>
        <w:ind w:firstLine="480"/>
        <w:jc w:val="left"/>
        <w:rPr>
          <w:highlight w:val="none"/>
        </w:rPr>
      </w:pPr>
      <w:r>
        <w:rPr>
          <w:rFonts w:ascii="仿宋_GB2312" w:hAnsi="仿宋_GB2312" w:eastAsia="仿宋_GB2312" w:cs="仿宋_GB2312"/>
          <w:highlight w:val="none"/>
        </w:rPr>
        <w:t>2.1我方具备招标文件第一章载明的“投标人的资格要求”且符合招标文件第三章载明的“二、投标人”之规定，否则投标无效。</w:t>
      </w:r>
    </w:p>
    <w:p w14:paraId="6EE7655F">
      <w:pPr>
        <w:pStyle w:val="4"/>
        <w:ind w:firstLine="480"/>
        <w:jc w:val="left"/>
        <w:rPr>
          <w:highlight w:val="none"/>
        </w:rPr>
      </w:pPr>
      <w:r>
        <w:rPr>
          <w:rFonts w:ascii="仿宋_GB2312" w:hAnsi="仿宋_GB2312" w:eastAsia="仿宋_GB2312" w:cs="仿宋_GB2312"/>
          <w:highlight w:val="none"/>
        </w:rPr>
        <w:t>2.2我方提交的电子投标文件各组成部分的全部内容及资料是不可割离且真实、有效、准确、完整和不具有任何误导性的，否则产生不利后果由我方承担责任。</w:t>
      </w:r>
    </w:p>
    <w:p w14:paraId="19A36907">
      <w:pPr>
        <w:pStyle w:val="4"/>
        <w:ind w:firstLine="480"/>
        <w:jc w:val="left"/>
        <w:rPr>
          <w:highlight w:val="none"/>
        </w:rPr>
      </w:pPr>
      <w:r>
        <w:rPr>
          <w:rFonts w:ascii="仿宋_GB2312" w:hAnsi="仿宋_GB2312" w:eastAsia="仿宋_GB2312" w:cs="仿宋_GB2312"/>
          <w:highlight w:val="none"/>
        </w:rPr>
        <w:t>2.3我方提供的标的价格不高于同期市场价格，否则产生不利后果由我方承担责任。</w:t>
      </w:r>
    </w:p>
    <w:p w14:paraId="4547FF32">
      <w:pPr>
        <w:pStyle w:val="4"/>
        <w:ind w:firstLine="480"/>
        <w:jc w:val="left"/>
        <w:rPr>
          <w:highlight w:val="none"/>
        </w:rPr>
      </w:pPr>
      <w:r>
        <w:rPr>
          <w:rFonts w:ascii="仿宋_GB2312" w:hAnsi="仿宋_GB2312" w:eastAsia="仿宋_GB2312" w:cs="仿宋_GB2312"/>
          <w:highlight w:val="none"/>
        </w:rPr>
        <w:t>2.4投标保证金：若出现招标文件第三章规定的不予退还情形，同意贵单位不予退还。</w:t>
      </w:r>
    </w:p>
    <w:p w14:paraId="6680C331">
      <w:pPr>
        <w:pStyle w:val="4"/>
        <w:ind w:firstLine="480"/>
        <w:jc w:val="left"/>
        <w:rPr>
          <w:highlight w:val="none"/>
        </w:rPr>
      </w:pPr>
      <w:r>
        <w:rPr>
          <w:rFonts w:ascii="仿宋_GB2312" w:hAnsi="仿宋_GB2312" w:eastAsia="仿宋_GB2312" w:cs="仿宋_GB2312"/>
          <w:highlight w:val="none"/>
        </w:rPr>
        <w:t>2.5投标有效期：按照招标文件第三章规定执行，并在招标文件第二章载明的期限内保持有效。</w:t>
      </w:r>
    </w:p>
    <w:p w14:paraId="2C2D5B10">
      <w:pPr>
        <w:pStyle w:val="4"/>
        <w:ind w:firstLine="480"/>
        <w:jc w:val="left"/>
        <w:rPr>
          <w:highlight w:val="none"/>
        </w:rPr>
      </w:pPr>
      <w:r>
        <w:rPr>
          <w:rFonts w:ascii="仿宋_GB2312" w:hAnsi="仿宋_GB2312" w:eastAsia="仿宋_GB2312" w:cs="仿宋_GB2312"/>
          <w:highlight w:val="none"/>
        </w:rPr>
        <w:t>2.6若中标，将按照招标文件、我方电子投标文件及政府采购合同履行责任和义务。</w:t>
      </w:r>
    </w:p>
    <w:p w14:paraId="66F2D218">
      <w:pPr>
        <w:pStyle w:val="4"/>
        <w:ind w:firstLine="480"/>
        <w:jc w:val="left"/>
        <w:rPr>
          <w:highlight w:val="none"/>
        </w:rPr>
      </w:pPr>
      <w:r>
        <w:rPr>
          <w:rFonts w:ascii="仿宋_GB2312" w:hAnsi="仿宋_GB2312" w:eastAsia="仿宋_GB2312" w:cs="仿宋_GB2312"/>
          <w:highlight w:val="none"/>
        </w:rPr>
        <w:t>2.7若贵单位要求，我方同意提供与本项目投标有关的一切资料、数据或文件，并完全理解贵单位不一定要接受最低的投标报价或收到的任何投标。</w:t>
      </w:r>
    </w:p>
    <w:p w14:paraId="44881263">
      <w:pPr>
        <w:pStyle w:val="4"/>
        <w:ind w:firstLine="480"/>
        <w:jc w:val="left"/>
        <w:rPr>
          <w:highlight w:val="none"/>
        </w:rPr>
      </w:pPr>
      <w:r>
        <w:rPr>
          <w:rFonts w:ascii="仿宋_GB2312" w:hAnsi="仿宋_GB2312" w:eastAsia="仿宋_GB2312" w:cs="仿宋_GB2312"/>
          <w:highlight w:val="none"/>
        </w:rPr>
        <w:t>2.8 我方承诺遵守《中华人民共和国劳动合同法》有关规定和《中华人民共和国妇女权益保障法 》中关于“劳动和社会保障权益”的有关要求。</w:t>
      </w:r>
    </w:p>
    <w:p w14:paraId="1899FBF5">
      <w:pPr>
        <w:pStyle w:val="4"/>
        <w:ind w:firstLine="480"/>
        <w:jc w:val="left"/>
        <w:rPr>
          <w:highlight w:val="none"/>
        </w:rPr>
      </w:pPr>
      <w:r>
        <w:rPr>
          <w:rFonts w:ascii="仿宋_GB2312" w:hAnsi="仿宋_GB2312" w:eastAsia="仿宋_GB2312" w:cs="仿宋_GB2312"/>
          <w:highlight w:val="none"/>
        </w:rPr>
        <w:t>2.9我方承诺电子投标文件所提供的全部资料真实可靠，并接受评标委员会、采购人、采购代理机构、监管部门进一步审查其中任何资料真实性的要求。</w:t>
      </w:r>
    </w:p>
    <w:p w14:paraId="796609C8">
      <w:pPr>
        <w:pStyle w:val="4"/>
        <w:ind w:firstLine="480"/>
        <w:jc w:val="left"/>
        <w:rPr>
          <w:highlight w:val="none"/>
        </w:rPr>
      </w:pPr>
      <w:r>
        <w:rPr>
          <w:rFonts w:ascii="仿宋_GB2312" w:hAnsi="仿宋_GB2312" w:eastAsia="仿宋_GB2312" w:cs="仿宋_GB2312"/>
          <w:highlight w:val="none"/>
        </w:rPr>
        <w:t>2.10除招标文件另有规定外，对于贵单位按照下述联络方式发出的任何信息或通知，均视为我方已收悉前述信息或通知的全部内容：</w:t>
      </w:r>
    </w:p>
    <w:p w14:paraId="595BDE63">
      <w:pPr>
        <w:pStyle w:val="4"/>
        <w:ind w:firstLine="480"/>
        <w:jc w:val="left"/>
        <w:rPr>
          <w:highlight w:val="none"/>
        </w:rPr>
      </w:pPr>
      <w:r>
        <w:rPr>
          <w:rFonts w:ascii="仿宋_GB2312" w:hAnsi="仿宋_GB2312" w:eastAsia="仿宋_GB2312" w:cs="仿宋_GB2312"/>
          <w:highlight w:val="none"/>
        </w:rPr>
        <w:t xml:space="preserve">通信地址：                                        </w:t>
      </w:r>
    </w:p>
    <w:p w14:paraId="299E4DB1">
      <w:pPr>
        <w:pStyle w:val="4"/>
        <w:ind w:firstLine="480"/>
        <w:jc w:val="left"/>
        <w:rPr>
          <w:highlight w:val="none"/>
        </w:rPr>
      </w:pPr>
      <w:r>
        <w:rPr>
          <w:rFonts w:ascii="仿宋_GB2312" w:hAnsi="仿宋_GB2312" w:eastAsia="仿宋_GB2312" w:cs="仿宋_GB2312"/>
          <w:highlight w:val="none"/>
        </w:rPr>
        <w:t xml:space="preserve">邮编：                                           </w:t>
      </w:r>
    </w:p>
    <w:p w14:paraId="3BE88071">
      <w:pPr>
        <w:pStyle w:val="4"/>
        <w:ind w:firstLine="480"/>
        <w:jc w:val="left"/>
        <w:rPr>
          <w:highlight w:val="none"/>
        </w:rPr>
      </w:pPr>
      <w:r>
        <w:rPr>
          <w:rFonts w:ascii="仿宋_GB2312" w:hAnsi="仿宋_GB2312" w:eastAsia="仿宋_GB2312" w:cs="仿宋_GB2312"/>
          <w:highlight w:val="none"/>
        </w:rPr>
        <w:t>联系方法：（包括但不限于：联系人、联系电话、手机、传真、电子邮箱等）</w:t>
      </w:r>
    </w:p>
    <w:p w14:paraId="4C607047">
      <w:pPr>
        <w:pStyle w:val="4"/>
        <w:ind w:firstLine="480"/>
        <w:jc w:val="left"/>
        <w:rPr>
          <w:highlight w:val="none"/>
        </w:rPr>
      </w:pPr>
      <w:r>
        <w:rPr>
          <w:rFonts w:ascii="仿宋_GB2312" w:hAnsi="仿宋_GB2312" w:eastAsia="仿宋_GB2312" w:cs="仿宋_GB2312"/>
          <w:highlight w:val="none"/>
        </w:rPr>
        <w:t>投标人：（全称并加盖单位公章）</w:t>
      </w:r>
    </w:p>
    <w:p w14:paraId="73DEE5ED">
      <w:pPr>
        <w:pStyle w:val="4"/>
        <w:ind w:firstLine="480"/>
        <w:jc w:val="left"/>
        <w:rPr>
          <w:highlight w:val="none"/>
        </w:rPr>
      </w:pPr>
      <w:r>
        <w:rPr>
          <w:rFonts w:ascii="仿宋_GB2312" w:hAnsi="仿宋_GB2312" w:eastAsia="仿宋_GB2312" w:cs="仿宋_GB2312"/>
          <w:highlight w:val="none"/>
        </w:rPr>
        <w:t>日期：    年   月   日</w:t>
      </w:r>
    </w:p>
    <w:p w14:paraId="35790634">
      <w:pPr>
        <w:pStyle w:val="4"/>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1781F6F3">
      <w:pPr>
        <w:pStyle w:val="4"/>
        <w:jc w:val="center"/>
        <w:outlineLvl w:val="2"/>
        <w:rPr>
          <w:highlight w:val="none"/>
        </w:rPr>
      </w:pPr>
      <w:r>
        <w:rPr>
          <w:rFonts w:ascii="仿宋_GB2312" w:hAnsi="仿宋_GB2312" w:eastAsia="仿宋_GB2312" w:cs="仿宋_GB2312"/>
          <w:b/>
          <w:sz w:val="28"/>
          <w:highlight w:val="none"/>
        </w:rPr>
        <w:t>二、投标人的资格及资信证明文件</w:t>
      </w:r>
    </w:p>
    <w:p w14:paraId="33058F0E">
      <w:pPr>
        <w:pStyle w:val="4"/>
        <w:ind w:firstLine="960"/>
        <w:jc w:val="center"/>
        <w:outlineLvl w:val="3"/>
        <w:rPr>
          <w:highlight w:val="none"/>
        </w:rPr>
      </w:pPr>
      <w:r>
        <w:rPr>
          <w:rFonts w:ascii="仿宋_GB2312" w:hAnsi="仿宋_GB2312" w:eastAsia="仿宋_GB2312" w:cs="仿宋_GB2312"/>
          <w:b/>
          <w:sz w:val="24"/>
          <w:highlight w:val="none"/>
        </w:rPr>
        <w:t>二-1单位授权书（若有）</w:t>
      </w:r>
    </w:p>
    <w:p w14:paraId="0517CBA0">
      <w:pPr>
        <w:pStyle w:val="4"/>
        <w:ind w:firstLine="480"/>
        <w:jc w:val="left"/>
        <w:rPr>
          <w:highlight w:val="none"/>
        </w:rPr>
      </w:pPr>
      <w:r>
        <w:rPr>
          <w:rFonts w:ascii="仿宋_GB2312" w:hAnsi="仿宋_GB2312" w:eastAsia="仿宋_GB2312" w:cs="仿宋_GB2312"/>
          <w:highlight w:val="none"/>
        </w:rPr>
        <w:t>致：</w:t>
      </w:r>
      <w:r>
        <w:rPr>
          <w:rFonts w:ascii="仿宋_GB2312" w:hAnsi="仿宋_GB2312" w:eastAsia="仿宋_GB2312" w:cs="仿宋_GB2312"/>
          <w:highlight w:val="none"/>
          <w:u w:val="single"/>
        </w:rPr>
        <w:t>（采购人或采购代理机构）</w:t>
      </w:r>
    </w:p>
    <w:p w14:paraId="695919F2">
      <w:pPr>
        <w:pStyle w:val="4"/>
        <w:ind w:firstLine="480"/>
        <w:jc w:val="left"/>
        <w:rPr>
          <w:highlight w:val="none"/>
        </w:rPr>
      </w:pPr>
      <w:r>
        <w:rPr>
          <w:rFonts w:ascii="仿宋_GB2312" w:hAnsi="仿宋_GB2312" w:eastAsia="仿宋_GB2312" w:cs="仿宋_GB2312"/>
          <w:highlight w:val="none"/>
        </w:rPr>
        <w:t>我方的单位负责人</w:t>
      </w:r>
      <w:r>
        <w:rPr>
          <w:rFonts w:ascii="仿宋_GB2312" w:hAnsi="仿宋_GB2312" w:eastAsia="仿宋_GB2312" w:cs="仿宋_GB2312"/>
          <w:highlight w:val="none"/>
          <w:u w:val="single"/>
        </w:rPr>
        <w:t>（填写“单位负责人全名”）</w:t>
      </w:r>
      <w:r>
        <w:rPr>
          <w:rFonts w:ascii="仿宋_GB2312" w:hAnsi="仿宋_GB2312" w:eastAsia="仿宋_GB2312" w:cs="仿宋_GB2312"/>
          <w:highlight w:val="none"/>
        </w:rPr>
        <w:t>授权</w:t>
      </w:r>
      <w:r>
        <w:rPr>
          <w:rFonts w:ascii="仿宋_GB2312" w:hAnsi="仿宋_GB2312" w:eastAsia="仿宋_GB2312" w:cs="仿宋_GB2312"/>
          <w:highlight w:val="none"/>
          <w:u w:val="single"/>
        </w:rPr>
        <w:t>（填写“投标人代表全名”）</w:t>
      </w:r>
      <w:r>
        <w:rPr>
          <w:rFonts w:ascii="仿宋_GB2312" w:hAnsi="仿宋_GB2312" w:eastAsia="仿宋_GB2312" w:cs="仿宋_GB2312"/>
          <w:highlight w:val="none"/>
        </w:rPr>
        <w:t>为投标人代表，代表我方参加</w:t>
      </w:r>
      <w:r>
        <w:rPr>
          <w:rFonts w:ascii="仿宋_GB2312" w:hAnsi="仿宋_GB2312" w:eastAsia="仿宋_GB2312" w:cs="仿宋_GB2312"/>
          <w:highlight w:val="none"/>
          <w:u w:val="single"/>
        </w:rPr>
        <w:t>（填写“项目名称”）</w:t>
      </w:r>
      <w:r>
        <w:rPr>
          <w:rFonts w:ascii="仿宋_GB2312" w:hAnsi="仿宋_GB2312" w:eastAsia="仿宋_GB2312" w:cs="仿宋_GB2312"/>
          <w:highlight w:val="none"/>
        </w:rPr>
        <w:t>项目（项目编号：</w:t>
      </w:r>
      <w:r>
        <w:rPr>
          <w:rFonts w:ascii="仿宋_GB2312" w:hAnsi="仿宋_GB2312" w:eastAsia="仿宋_GB2312" w:cs="仿宋_GB2312"/>
          <w:highlight w:val="none"/>
          <w:u w:val="single"/>
        </w:rPr>
        <w:t>　　　　　</w:t>
      </w:r>
      <w:r>
        <w:rPr>
          <w:rFonts w:ascii="仿宋_GB2312" w:hAnsi="仿宋_GB2312" w:eastAsia="仿宋_GB2312" w:cs="仿宋_GB2312"/>
          <w:highlight w:val="none"/>
        </w:rPr>
        <w:t>）的投标，全权代表我方处理投标过程的一切事宜，包括但不限于：投标、参加开标、谈判、澄清、签约等。投标人代表在投标过程中所签署的一切文件和处理与之有关的一切事务，我方均予以认可并对此承担责任。</w:t>
      </w:r>
    </w:p>
    <w:p w14:paraId="256C1FA0">
      <w:pPr>
        <w:pStyle w:val="4"/>
        <w:ind w:firstLine="480"/>
        <w:jc w:val="left"/>
        <w:rPr>
          <w:highlight w:val="none"/>
        </w:rPr>
      </w:pPr>
      <w:r>
        <w:rPr>
          <w:rFonts w:ascii="仿宋_GB2312" w:hAnsi="仿宋_GB2312" w:eastAsia="仿宋_GB2312" w:cs="仿宋_GB2312"/>
          <w:highlight w:val="none"/>
        </w:rPr>
        <w:t>投标人代表无转委权。特此授权。</w:t>
      </w:r>
    </w:p>
    <w:p w14:paraId="216EE14E">
      <w:pPr>
        <w:pStyle w:val="4"/>
        <w:ind w:firstLine="480"/>
        <w:jc w:val="left"/>
        <w:rPr>
          <w:highlight w:val="none"/>
        </w:rPr>
      </w:pPr>
      <w:r>
        <w:rPr>
          <w:rFonts w:ascii="仿宋_GB2312" w:hAnsi="仿宋_GB2312" w:eastAsia="仿宋_GB2312" w:cs="仿宋_GB2312"/>
          <w:highlight w:val="none"/>
        </w:rPr>
        <w:t>（以下无正文）</w:t>
      </w:r>
    </w:p>
    <w:p w14:paraId="63027D19">
      <w:pPr>
        <w:pStyle w:val="4"/>
        <w:ind w:firstLine="480"/>
        <w:jc w:val="left"/>
        <w:rPr>
          <w:highlight w:val="none"/>
        </w:rPr>
      </w:pPr>
      <w:r>
        <w:rPr>
          <w:rFonts w:ascii="仿宋_GB2312" w:hAnsi="仿宋_GB2312" w:eastAsia="仿宋_GB2312" w:cs="仿宋_GB2312"/>
          <w:highlight w:val="none"/>
        </w:rPr>
        <w:t>单位负责人：</w:t>
      </w:r>
      <w:r>
        <w:rPr>
          <w:rFonts w:ascii="仿宋_GB2312" w:hAnsi="仿宋_GB2312" w:eastAsia="仿宋_GB2312" w:cs="仿宋_GB2312"/>
          <w:highlight w:val="none"/>
          <w:u w:val="single"/>
        </w:rPr>
        <w:t>　　　　　</w:t>
      </w:r>
      <w:r>
        <w:rPr>
          <w:rFonts w:ascii="仿宋_GB2312" w:hAnsi="仿宋_GB2312" w:eastAsia="仿宋_GB2312" w:cs="仿宋_GB2312"/>
          <w:highlight w:val="none"/>
        </w:rPr>
        <w:t>身份证号：</w:t>
      </w:r>
      <w:r>
        <w:rPr>
          <w:rFonts w:ascii="仿宋_GB2312" w:hAnsi="仿宋_GB2312" w:eastAsia="仿宋_GB2312" w:cs="仿宋_GB2312"/>
          <w:highlight w:val="none"/>
          <w:u w:val="single"/>
        </w:rPr>
        <w:t>　　　　　</w:t>
      </w:r>
      <w:r>
        <w:rPr>
          <w:rFonts w:ascii="仿宋_GB2312" w:hAnsi="仿宋_GB2312" w:eastAsia="仿宋_GB2312" w:cs="仿宋_GB2312"/>
          <w:highlight w:val="none"/>
        </w:rPr>
        <w:t>手机：</w:t>
      </w:r>
      <w:r>
        <w:rPr>
          <w:rFonts w:ascii="仿宋_GB2312" w:hAnsi="仿宋_GB2312" w:eastAsia="仿宋_GB2312" w:cs="仿宋_GB2312"/>
          <w:highlight w:val="none"/>
          <w:u w:val="single"/>
        </w:rPr>
        <w:t>　　　　　</w:t>
      </w:r>
    </w:p>
    <w:p w14:paraId="6B07546C">
      <w:pPr>
        <w:pStyle w:val="4"/>
        <w:ind w:firstLine="480"/>
        <w:jc w:val="left"/>
        <w:rPr>
          <w:highlight w:val="none"/>
        </w:rPr>
      </w:pPr>
      <w:r>
        <w:rPr>
          <w:rFonts w:ascii="仿宋_GB2312" w:hAnsi="仿宋_GB2312" w:eastAsia="仿宋_GB2312" w:cs="仿宋_GB2312"/>
          <w:highlight w:val="none"/>
        </w:rPr>
        <w:t>投标人代表：</w:t>
      </w:r>
      <w:r>
        <w:rPr>
          <w:rFonts w:ascii="仿宋_GB2312" w:hAnsi="仿宋_GB2312" w:eastAsia="仿宋_GB2312" w:cs="仿宋_GB2312"/>
          <w:highlight w:val="none"/>
          <w:u w:val="single"/>
        </w:rPr>
        <w:t>　　　　　</w:t>
      </w:r>
      <w:r>
        <w:rPr>
          <w:rFonts w:ascii="仿宋_GB2312" w:hAnsi="仿宋_GB2312" w:eastAsia="仿宋_GB2312" w:cs="仿宋_GB2312"/>
          <w:highlight w:val="none"/>
        </w:rPr>
        <w:t>身份证号：</w:t>
      </w:r>
      <w:r>
        <w:rPr>
          <w:rFonts w:ascii="仿宋_GB2312" w:hAnsi="仿宋_GB2312" w:eastAsia="仿宋_GB2312" w:cs="仿宋_GB2312"/>
          <w:highlight w:val="none"/>
          <w:u w:val="single"/>
        </w:rPr>
        <w:t>　　　　　</w:t>
      </w:r>
      <w:r>
        <w:rPr>
          <w:rFonts w:ascii="仿宋_GB2312" w:hAnsi="仿宋_GB2312" w:eastAsia="仿宋_GB2312" w:cs="仿宋_GB2312"/>
          <w:highlight w:val="none"/>
        </w:rPr>
        <w:t>手机：</w:t>
      </w:r>
      <w:r>
        <w:rPr>
          <w:rFonts w:ascii="仿宋_GB2312" w:hAnsi="仿宋_GB2312" w:eastAsia="仿宋_GB2312" w:cs="仿宋_GB2312"/>
          <w:highlight w:val="none"/>
          <w:u w:val="single"/>
        </w:rPr>
        <w:t>　　　　　</w:t>
      </w:r>
    </w:p>
    <w:p w14:paraId="5D88CF14">
      <w:pPr>
        <w:pStyle w:val="4"/>
        <w:ind w:firstLine="480"/>
        <w:jc w:val="left"/>
        <w:rPr>
          <w:highlight w:val="none"/>
        </w:rPr>
      </w:pPr>
      <w:r>
        <w:rPr>
          <w:rFonts w:ascii="仿宋_GB2312" w:hAnsi="仿宋_GB2312" w:eastAsia="仿宋_GB2312" w:cs="仿宋_GB2312"/>
          <w:highlight w:val="none"/>
        </w:rPr>
        <w:t>授权方</w:t>
      </w:r>
    </w:p>
    <w:p w14:paraId="3BF4BBFD">
      <w:pPr>
        <w:pStyle w:val="4"/>
        <w:ind w:firstLine="480"/>
        <w:jc w:val="left"/>
        <w:rPr>
          <w:highlight w:val="none"/>
        </w:rPr>
      </w:pPr>
      <w:r>
        <w:rPr>
          <w:rFonts w:ascii="仿宋_GB2312" w:hAnsi="仿宋_GB2312" w:eastAsia="仿宋_GB2312" w:cs="仿宋_GB2312"/>
          <w:highlight w:val="none"/>
        </w:rPr>
        <w:t>投标人：</w:t>
      </w:r>
      <w:r>
        <w:rPr>
          <w:rFonts w:ascii="仿宋_GB2312" w:hAnsi="仿宋_GB2312" w:eastAsia="仿宋_GB2312" w:cs="仿宋_GB2312"/>
          <w:highlight w:val="none"/>
          <w:u w:val="single"/>
        </w:rPr>
        <w:t>（全称并加盖单位公章）</w:t>
      </w:r>
    </w:p>
    <w:p w14:paraId="1AB9F00E">
      <w:pPr>
        <w:pStyle w:val="4"/>
        <w:ind w:firstLine="480"/>
        <w:jc w:val="right"/>
        <w:rPr>
          <w:highlight w:val="none"/>
        </w:rPr>
      </w:pPr>
      <w:r>
        <w:rPr>
          <w:rFonts w:ascii="仿宋_GB2312" w:hAnsi="仿宋_GB2312" w:eastAsia="仿宋_GB2312" w:cs="仿宋_GB2312"/>
          <w:highlight w:val="none"/>
        </w:rPr>
        <w:t>签署日期： 年 月 日</w:t>
      </w:r>
    </w:p>
    <w:p w14:paraId="15CE8F28">
      <w:pPr>
        <w:pStyle w:val="4"/>
        <w:ind w:firstLine="480"/>
        <w:jc w:val="left"/>
        <w:rPr>
          <w:highlight w:val="none"/>
        </w:rPr>
      </w:pPr>
      <w:r>
        <w:rPr>
          <w:rFonts w:ascii="仿宋_GB2312" w:hAnsi="仿宋_GB2312" w:eastAsia="仿宋_GB2312" w:cs="仿宋_GB2312"/>
          <w:highlight w:val="none"/>
        </w:rPr>
        <w:t>附：单位负责人、投标人代表的身份证正反面复印件</w:t>
      </w:r>
    </w:p>
    <w:p w14:paraId="6E181326">
      <w:pPr>
        <w:pStyle w:val="4"/>
        <w:ind w:firstLine="960"/>
        <w:jc w:val="left"/>
        <w:rPr>
          <w:highlight w:val="none"/>
        </w:rPr>
      </w:pPr>
      <w:r>
        <w:rPr>
          <w:rFonts w:ascii="仿宋_GB2312" w:hAnsi="仿宋_GB2312" w:eastAsia="仿宋_GB2312" w:cs="仿宋_GB2312"/>
          <w:highlight w:val="none"/>
        </w:rPr>
        <w:t>要求：真实有效且内容完整、清晰、整洁。</w:t>
      </w:r>
    </w:p>
    <w:p w14:paraId="44B1B7D0">
      <w:pPr>
        <w:pStyle w:val="4"/>
        <w:ind w:firstLine="480"/>
        <w:jc w:val="left"/>
        <w:rPr>
          <w:highlight w:val="none"/>
        </w:rPr>
      </w:pPr>
      <w:r>
        <w:rPr>
          <w:rFonts w:ascii="仿宋_GB2312" w:hAnsi="仿宋_GB2312" w:eastAsia="仿宋_GB2312" w:cs="仿宋_GB2312"/>
          <w:highlight w:val="none"/>
        </w:rPr>
        <w:t>※注意：</w:t>
      </w:r>
    </w:p>
    <w:p w14:paraId="640F73D8">
      <w:pPr>
        <w:pStyle w:val="4"/>
        <w:ind w:firstLine="480"/>
        <w:jc w:val="left"/>
        <w:rPr>
          <w:highlight w:val="none"/>
        </w:rPr>
      </w:pPr>
      <w:r>
        <w:rPr>
          <w:rFonts w:ascii="仿宋_GB2312" w:hAnsi="仿宋_GB2312" w:eastAsia="仿宋_GB2312" w:cs="仿宋_GB2312"/>
          <w:highlight w:val="none"/>
        </w:rPr>
        <w:t>1、企业（银行、保险、石油石化、电力、电信等行业除外）、事业单位和社会团体法人的“单位负责人”指法定代表人，即与实际提交的“营业执照等证明文件”载明的一致。</w:t>
      </w:r>
    </w:p>
    <w:p w14:paraId="79492954">
      <w:pPr>
        <w:pStyle w:val="4"/>
        <w:ind w:firstLine="480"/>
        <w:jc w:val="left"/>
        <w:rPr>
          <w:highlight w:val="none"/>
        </w:rPr>
      </w:pPr>
      <w:r>
        <w:rPr>
          <w:rFonts w:ascii="仿宋_GB2312" w:hAnsi="仿宋_GB2312" w:eastAsia="仿宋_GB2312" w:cs="仿宋_GB2312"/>
          <w:highlight w:val="none"/>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14:paraId="351D0950">
      <w:pPr>
        <w:pStyle w:val="4"/>
        <w:ind w:firstLine="480"/>
        <w:jc w:val="left"/>
        <w:rPr>
          <w:highlight w:val="none"/>
        </w:rPr>
      </w:pPr>
      <w:r>
        <w:rPr>
          <w:rFonts w:ascii="仿宋_GB2312" w:hAnsi="仿宋_GB2312" w:eastAsia="仿宋_GB2312" w:cs="仿宋_GB2312"/>
          <w:highlight w:val="none"/>
        </w:rPr>
        <w:t>3、投标人（自然人除外）：若投标人代表为单位授权的委托代理人，应提供本授权书；若投标人代表为单位负责人，应在此项下提交其身份证正反面复印件，可不提供本授权书。</w:t>
      </w:r>
    </w:p>
    <w:p w14:paraId="6946F8DA">
      <w:pPr>
        <w:pStyle w:val="4"/>
        <w:ind w:firstLine="480"/>
        <w:jc w:val="left"/>
        <w:rPr>
          <w:highlight w:val="none"/>
        </w:rPr>
      </w:pPr>
      <w:r>
        <w:rPr>
          <w:rFonts w:ascii="仿宋_GB2312" w:hAnsi="仿宋_GB2312" w:eastAsia="仿宋_GB2312" w:cs="仿宋_GB2312"/>
          <w:highlight w:val="none"/>
        </w:rPr>
        <w:t>4、投标人为自然人的，可不填写本授权书。</w:t>
      </w:r>
    </w:p>
    <w:p w14:paraId="629AD21E">
      <w:pPr>
        <w:pStyle w:val="4"/>
        <w:ind w:firstLine="960"/>
        <w:jc w:val="left"/>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71E11EA2">
      <w:pPr>
        <w:pStyle w:val="4"/>
        <w:ind w:firstLine="960"/>
        <w:jc w:val="center"/>
        <w:outlineLvl w:val="3"/>
        <w:rPr>
          <w:highlight w:val="none"/>
        </w:rPr>
      </w:pPr>
      <w:r>
        <w:rPr>
          <w:rFonts w:ascii="仿宋_GB2312" w:hAnsi="仿宋_GB2312" w:eastAsia="仿宋_GB2312" w:cs="仿宋_GB2312"/>
          <w:b/>
          <w:sz w:val="24"/>
          <w:highlight w:val="none"/>
        </w:rPr>
        <w:t>二-2 证明材料</w:t>
      </w:r>
    </w:p>
    <w:p w14:paraId="21215C60">
      <w:pPr>
        <w:pStyle w:val="4"/>
        <w:ind w:firstLine="480"/>
        <w:jc w:val="left"/>
        <w:rPr>
          <w:highlight w:val="none"/>
        </w:rPr>
      </w:pPr>
      <w:r>
        <w:rPr>
          <w:rFonts w:ascii="仿宋_GB2312" w:hAnsi="仿宋_GB2312" w:eastAsia="仿宋_GB2312" w:cs="仿宋_GB2312"/>
          <w:highlight w:val="none"/>
        </w:rPr>
        <w:t>注：根据招标文件第四章第一资格审查的1.3的“④其他资格证明文件”要求，允许供应商采用资格承诺制的，可提供符合要求的二-2-1资格承诺函，视为满足招标文件的资格要求，投标人根据投标文件格式二-2-1、二-2-2提供其中一种证明材料，若重复提供导致的不利后果，由投标人自行负责。</w:t>
      </w:r>
    </w:p>
    <w:p w14:paraId="7AD513CD">
      <w:pPr>
        <w:pStyle w:val="4"/>
        <w:ind w:firstLine="960"/>
        <w:jc w:val="center"/>
        <w:outlineLvl w:val="3"/>
        <w:rPr>
          <w:highlight w:val="none"/>
        </w:rPr>
      </w:pPr>
      <w:r>
        <w:rPr>
          <w:rFonts w:ascii="仿宋_GB2312" w:hAnsi="仿宋_GB2312" w:eastAsia="仿宋_GB2312" w:cs="仿宋_GB2312"/>
          <w:b/>
          <w:sz w:val="24"/>
          <w:highlight w:val="none"/>
        </w:rPr>
        <w:t>二-2-1 福建省政府采购供应商资格承诺函</w:t>
      </w:r>
    </w:p>
    <w:p w14:paraId="327C4D16">
      <w:pPr>
        <w:pStyle w:val="4"/>
        <w:ind w:firstLine="480"/>
        <w:jc w:val="left"/>
        <w:rPr>
          <w:highlight w:val="none"/>
        </w:rPr>
      </w:pPr>
      <w:r>
        <w:rPr>
          <w:rFonts w:ascii="仿宋_GB2312" w:hAnsi="仿宋_GB2312" w:eastAsia="仿宋_GB2312" w:cs="仿宋_GB2312"/>
          <w:highlight w:val="none"/>
        </w:rPr>
        <w:t>致：</w:t>
      </w:r>
      <w:r>
        <w:rPr>
          <w:rFonts w:ascii="仿宋_GB2312" w:hAnsi="仿宋_GB2312" w:eastAsia="仿宋_GB2312" w:cs="仿宋_GB2312"/>
          <w:highlight w:val="none"/>
          <w:u w:val="single"/>
        </w:rPr>
        <w:t>（采购人或采购代理机构）</w:t>
      </w:r>
    </w:p>
    <w:p w14:paraId="17C9BB97">
      <w:pPr>
        <w:pStyle w:val="4"/>
        <w:ind w:firstLine="960"/>
        <w:jc w:val="left"/>
        <w:rPr>
          <w:highlight w:val="none"/>
        </w:rPr>
      </w:pPr>
      <w:r>
        <w:rPr>
          <w:rFonts w:ascii="仿宋_GB2312" w:hAnsi="仿宋_GB2312" w:eastAsia="仿宋_GB2312" w:cs="仿宋_GB2312"/>
          <w:highlight w:val="none"/>
        </w:rPr>
        <w:t>单位名称(自然人姓名):</w:t>
      </w:r>
    </w:p>
    <w:p w14:paraId="3FA24A98">
      <w:pPr>
        <w:pStyle w:val="4"/>
        <w:ind w:firstLine="960"/>
        <w:jc w:val="left"/>
        <w:rPr>
          <w:highlight w:val="none"/>
        </w:rPr>
      </w:pPr>
      <w:r>
        <w:rPr>
          <w:rFonts w:ascii="仿宋_GB2312" w:hAnsi="仿宋_GB2312" w:eastAsia="仿宋_GB2312" w:cs="仿宋_GB2312"/>
          <w:highlight w:val="none"/>
        </w:rPr>
        <w:t>统一社会信用代码(自然人身份证号码):</w:t>
      </w:r>
    </w:p>
    <w:p w14:paraId="3574CE3F">
      <w:pPr>
        <w:pStyle w:val="4"/>
        <w:ind w:firstLine="960"/>
        <w:jc w:val="left"/>
        <w:rPr>
          <w:highlight w:val="none"/>
        </w:rPr>
      </w:pPr>
      <w:r>
        <w:rPr>
          <w:rFonts w:ascii="仿宋_GB2312" w:hAnsi="仿宋_GB2312" w:eastAsia="仿宋_GB2312" w:cs="仿宋_GB2312"/>
          <w:highlight w:val="none"/>
        </w:rPr>
        <w:t>法定代表人(负责人):</w:t>
      </w:r>
    </w:p>
    <w:p w14:paraId="04128FBD">
      <w:pPr>
        <w:pStyle w:val="4"/>
        <w:ind w:firstLine="960"/>
        <w:jc w:val="left"/>
        <w:rPr>
          <w:highlight w:val="none"/>
        </w:rPr>
      </w:pPr>
      <w:r>
        <w:rPr>
          <w:rFonts w:ascii="仿宋_GB2312" w:hAnsi="仿宋_GB2312" w:eastAsia="仿宋_GB2312" w:cs="仿宋_GB2312"/>
          <w:highlight w:val="none"/>
        </w:rPr>
        <w:t>联系地址和电话:</w:t>
      </w:r>
    </w:p>
    <w:p w14:paraId="0AD02619">
      <w:pPr>
        <w:pStyle w:val="4"/>
        <w:ind w:firstLine="480"/>
        <w:jc w:val="left"/>
        <w:rPr>
          <w:highlight w:val="none"/>
        </w:rPr>
      </w:pPr>
      <w:r>
        <w:rPr>
          <w:rFonts w:ascii="仿宋_GB2312" w:hAnsi="仿宋_GB2312" w:eastAsia="仿宋_GB2312" w:cs="仿宋_GB2312"/>
          <w:highlight w:val="none"/>
        </w:rPr>
        <w:t>我单位(本人)自愿参加本次政府采购活动，严格遵守《中华人民共和国政府采购法》及相关法律法规，坚守公开、公平公正和诚实信用等原则，依法诚信经营，并郑重承诺:</w:t>
      </w:r>
    </w:p>
    <w:p w14:paraId="2D7A87B6">
      <w:pPr>
        <w:pStyle w:val="4"/>
        <w:ind w:firstLine="480"/>
        <w:jc w:val="left"/>
        <w:rPr>
          <w:highlight w:val="none"/>
        </w:rPr>
      </w:pPr>
      <w:r>
        <w:rPr>
          <w:rFonts w:ascii="仿宋_GB2312" w:hAnsi="仿宋_GB2312" w:eastAsia="仿宋_GB2312" w:cs="仿宋_GB2312"/>
          <w:highlight w:val="none"/>
        </w:rPr>
        <w:t>一、我单位(本人)具备采购文件要求以及《中华人民共和国政府采购法》第二十二条规定的条件:</w:t>
      </w:r>
    </w:p>
    <w:p w14:paraId="4BBF8D78">
      <w:pPr>
        <w:pStyle w:val="4"/>
        <w:ind w:firstLine="960"/>
        <w:jc w:val="left"/>
        <w:rPr>
          <w:highlight w:val="none"/>
        </w:rPr>
      </w:pPr>
      <w:r>
        <w:rPr>
          <w:rFonts w:ascii="仿宋_GB2312" w:hAnsi="仿宋_GB2312" w:eastAsia="仿宋_GB2312" w:cs="仿宋_GB2312"/>
          <w:highlight w:val="none"/>
        </w:rPr>
        <w:t>1.具有独立承担民事责任的能力;</w:t>
      </w:r>
    </w:p>
    <w:p w14:paraId="19EBC65A">
      <w:pPr>
        <w:pStyle w:val="4"/>
        <w:ind w:firstLine="960"/>
        <w:jc w:val="left"/>
        <w:rPr>
          <w:highlight w:val="none"/>
        </w:rPr>
      </w:pPr>
      <w:r>
        <w:rPr>
          <w:rFonts w:ascii="仿宋_GB2312" w:hAnsi="仿宋_GB2312" w:eastAsia="仿宋_GB2312" w:cs="仿宋_GB2312"/>
          <w:highlight w:val="none"/>
        </w:rPr>
        <w:t>2.具有良好的商业信誉和健全的财务会计制度;</w:t>
      </w:r>
    </w:p>
    <w:p w14:paraId="58D0149E">
      <w:pPr>
        <w:pStyle w:val="4"/>
        <w:ind w:firstLine="960"/>
        <w:jc w:val="left"/>
        <w:rPr>
          <w:highlight w:val="none"/>
        </w:rPr>
      </w:pPr>
      <w:r>
        <w:rPr>
          <w:rFonts w:ascii="仿宋_GB2312" w:hAnsi="仿宋_GB2312" w:eastAsia="仿宋_GB2312" w:cs="仿宋_GB2312"/>
          <w:highlight w:val="none"/>
        </w:rPr>
        <w:t>3.具有履行合同所必需的设备和专业技术能力;</w:t>
      </w:r>
    </w:p>
    <w:p w14:paraId="783D1B30">
      <w:pPr>
        <w:pStyle w:val="4"/>
        <w:ind w:firstLine="960"/>
        <w:jc w:val="left"/>
        <w:rPr>
          <w:highlight w:val="none"/>
        </w:rPr>
      </w:pPr>
      <w:r>
        <w:rPr>
          <w:rFonts w:ascii="仿宋_GB2312" w:hAnsi="仿宋_GB2312" w:eastAsia="仿宋_GB2312" w:cs="仿宋_GB2312"/>
          <w:highlight w:val="none"/>
        </w:rPr>
        <w:t>4.有依法缴纳税收和社会保障资金的良好记录;</w:t>
      </w:r>
    </w:p>
    <w:p w14:paraId="7E72CA4F">
      <w:pPr>
        <w:pStyle w:val="4"/>
        <w:ind w:firstLine="960"/>
        <w:jc w:val="left"/>
        <w:rPr>
          <w:highlight w:val="none"/>
        </w:rPr>
      </w:pPr>
      <w:r>
        <w:rPr>
          <w:rFonts w:ascii="仿宋_GB2312" w:hAnsi="仿宋_GB2312" w:eastAsia="仿宋_GB2312" w:cs="仿宋_GB2312"/>
          <w:highlight w:val="none"/>
        </w:rPr>
        <w:t>5.参加政府采购活动前三年内，在经营活动中没有重大违法记录；</w:t>
      </w:r>
    </w:p>
    <w:p w14:paraId="476CB8C3">
      <w:pPr>
        <w:pStyle w:val="4"/>
        <w:ind w:firstLine="960"/>
        <w:jc w:val="left"/>
        <w:rPr>
          <w:highlight w:val="none"/>
        </w:rPr>
      </w:pPr>
      <w:r>
        <w:rPr>
          <w:rFonts w:ascii="仿宋_GB2312" w:hAnsi="仿宋_GB2312" w:eastAsia="仿宋_GB2312" w:cs="仿宋_GB2312"/>
          <w:highlight w:val="none"/>
        </w:rPr>
        <w:t>6.法律、行政法规规定的其他条件。</w:t>
      </w:r>
    </w:p>
    <w:p w14:paraId="62A72AAC">
      <w:pPr>
        <w:pStyle w:val="4"/>
        <w:ind w:firstLine="480"/>
        <w:jc w:val="left"/>
        <w:rPr>
          <w:highlight w:val="none"/>
        </w:rPr>
      </w:pPr>
      <w:r>
        <w:rPr>
          <w:rFonts w:ascii="仿宋_GB2312" w:hAnsi="仿宋_GB2312" w:eastAsia="仿宋_GB2312" w:cs="仿宋_GB2312"/>
          <w:highlight w:val="none"/>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28058565">
      <w:pPr>
        <w:pStyle w:val="4"/>
        <w:ind w:firstLine="480"/>
        <w:jc w:val="left"/>
        <w:rPr>
          <w:highlight w:val="none"/>
        </w:rPr>
      </w:pPr>
      <w:r>
        <w:rPr>
          <w:rFonts w:ascii="仿宋_GB2312" w:hAnsi="仿宋_GB2312" w:eastAsia="仿宋_GB2312" w:cs="仿宋_GB2312"/>
          <w:highlight w:val="none"/>
        </w:rPr>
        <w:t>我单位(本人)对本承诺函及所承诺事项的真实性、合法性及有效性负责，并已知晓如提供资格承诺函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08A51922">
      <w:pPr>
        <w:pStyle w:val="4"/>
        <w:ind w:firstLine="480"/>
        <w:jc w:val="right"/>
        <w:rPr>
          <w:highlight w:val="none"/>
        </w:rPr>
      </w:pPr>
      <w:r>
        <w:rPr>
          <w:rFonts w:ascii="仿宋_GB2312" w:hAnsi="仿宋_GB2312" w:eastAsia="仿宋_GB2312" w:cs="仿宋_GB2312"/>
          <w:highlight w:val="none"/>
        </w:rPr>
        <w:t>供应商：</w:t>
      </w:r>
      <w:r>
        <w:rPr>
          <w:rFonts w:ascii="仿宋_GB2312" w:hAnsi="仿宋_GB2312" w:eastAsia="仿宋_GB2312" w:cs="仿宋_GB2312"/>
          <w:highlight w:val="none"/>
          <w:u w:val="single"/>
        </w:rPr>
        <w:t>名称(单位公章):</w:t>
      </w:r>
    </w:p>
    <w:p w14:paraId="31A22E69">
      <w:pPr>
        <w:pStyle w:val="4"/>
        <w:ind w:firstLine="480"/>
        <w:jc w:val="right"/>
        <w:rPr>
          <w:highlight w:val="none"/>
        </w:rPr>
      </w:pPr>
      <w:r>
        <w:rPr>
          <w:rFonts w:ascii="仿宋_GB2312" w:hAnsi="仿宋_GB2312" w:eastAsia="仿宋_GB2312" w:cs="仿宋_GB2312"/>
          <w:highlight w:val="none"/>
        </w:rPr>
        <w:t>日期：</w:t>
      </w:r>
      <w:r>
        <w:rPr>
          <w:rFonts w:ascii="仿宋_GB2312" w:hAnsi="仿宋_GB2312" w:eastAsia="仿宋_GB2312" w:cs="仿宋_GB2312"/>
          <w:highlight w:val="none"/>
          <w:u w:val="single"/>
        </w:rPr>
        <w:t>　　年　　月　　日</w:t>
      </w:r>
    </w:p>
    <w:p w14:paraId="537EBD30">
      <w:pPr>
        <w:pStyle w:val="4"/>
        <w:ind w:firstLine="480"/>
        <w:jc w:val="left"/>
        <w:rPr>
          <w:highlight w:val="none"/>
        </w:rPr>
      </w:pPr>
      <w:r>
        <w:rPr>
          <w:rFonts w:ascii="仿宋_GB2312" w:hAnsi="仿宋_GB2312" w:eastAsia="仿宋_GB2312" w:cs="仿宋_GB2312"/>
          <w:highlight w:val="none"/>
        </w:rPr>
        <w:t>注：</w:t>
      </w:r>
    </w:p>
    <w:p w14:paraId="32F7BEC0">
      <w:pPr>
        <w:pStyle w:val="4"/>
        <w:ind w:firstLine="960"/>
        <w:jc w:val="left"/>
        <w:rPr>
          <w:highlight w:val="none"/>
        </w:rPr>
      </w:pPr>
      <w:r>
        <w:rPr>
          <w:rFonts w:ascii="仿宋_GB2312" w:hAnsi="仿宋_GB2312" w:eastAsia="仿宋_GB2312" w:cs="仿宋_GB2312"/>
          <w:highlight w:val="none"/>
        </w:rPr>
        <w:t>1.我单位(本人)专指参加政府采购活动的供应商(含自然人)；</w:t>
      </w:r>
    </w:p>
    <w:p w14:paraId="6F98DA58">
      <w:pPr>
        <w:pStyle w:val="4"/>
        <w:ind w:firstLine="960"/>
        <w:jc w:val="left"/>
        <w:rPr>
          <w:highlight w:val="none"/>
        </w:rPr>
      </w:pPr>
      <w:r>
        <w:rPr>
          <w:rFonts w:ascii="仿宋_GB2312" w:hAnsi="仿宋_GB2312" w:eastAsia="仿宋_GB2312" w:cs="仿宋_GB2312"/>
          <w:highlight w:val="none"/>
        </w:rPr>
        <w:t>2.资格承诺的供应商应在投标(响应)文件中按此模板提供承诺函，否则，视为未按照招标文件规定提交投标人的资格及资信文件，按资格审查不通过处理。</w:t>
      </w:r>
    </w:p>
    <w:p w14:paraId="403CEE2A">
      <w:pPr>
        <w:pStyle w:val="4"/>
        <w:ind w:firstLine="960"/>
        <w:jc w:val="left"/>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63610F1A">
      <w:pPr>
        <w:pStyle w:val="4"/>
        <w:ind w:firstLine="960"/>
        <w:jc w:val="center"/>
        <w:outlineLvl w:val="3"/>
        <w:rPr>
          <w:highlight w:val="none"/>
        </w:rPr>
      </w:pPr>
      <w:r>
        <w:rPr>
          <w:rFonts w:ascii="仿宋_GB2312" w:hAnsi="仿宋_GB2312" w:eastAsia="仿宋_GB2312" w:cs="仿宋_GB2312"/>
          <w:b/>
          <w:sz w:val="24"/>
          <w:highlight w:val="none"/>
        </w:rPr>
        <w:t>二-2-2 资格证明材料</w:t>
      </w:r>
    </w:p>
    <w:p w14:paraId="20D6A871">
      <w:pPr>
        <w:pStyle w:val="4"/>
        <w:ind w:firstLine="960"/>
        <w:jc w:val="center"/>
        <w:outlineLvl w:val="3"/>
        <w:rPr>
          <w:highlight w:val="none"/>
        </w:rPr>
      </w:pPr>
      <w:r>
        <w:rPr>
          <w:rFonts w:ascii="仿宋_GB2312" w:hAnsi="仿宋_GB2312" w:eastAsia="仿宋_GB2312" w:cs="仿宋_GB2312"/>
          <w:b/>
          <w:sz w:val="24"/>
          <w:highlight w:val="none"/>
        </w:rPr>
        <w:t>营业执照等证明文件</w:t>
      </w:r>
    </w:p>
    <w:p w14:paraId="1009D09B">
      <w:pPr>
        <w:pStyle w:val="4"/>
        <w:ind w:firstLine="480"/>
        <w:jc w:val="left"/>
        <w:rPr>
          <w:highlight w:val="none"/>
        </w:rPr>
      </w:pPr>
      <w:r>
        <w:rPr>
          <w:rFonts w:ascii="仿宋_GB2312" w:hAnsi="仿宋_GB2312" w:eastAsia="仿宋_GB2312" w:cs="仿宋_GB2312"/>
          <w:highlight w:val="none"/>
        </w:rPr>
        <w:t>致：</w:t>
      </w:r>
      <w:r>
        <w:rPr>
          <w:rFonts w:ascii="仿宋_GB2312" w:hAnsi="仿宋_GB2312" w:eastAsia="仿宋_GB2312" w:cs="仿宋_GB2312"/>
          <w:highlight w:val="none"/>
          <w:u w:val="single"/>
        </w:rPr>
        <w:t>（采购人或采购代理机构）</w:t>
      </w:r>
    </w:p>
    <w:p w14:paraId="65585FA5">
      <w:pPr>
        <w:pStyle w:val="4"/>
        <w:ind w:firstLine="480"/>
        <w:jc w:val="left"/>
        <w:rPr>
          <w:highlight w:val="none"/>
        </w:rPr>
      </w:pPr>
      <w:r>
        <w:rPr>
          <w:rFonts w:ascii="仿宋_GB2312" w:hAnsi="仿宋_GB2312" w:eastAsia="仿宋_GB2312" w:cs="仿宋_GB2312"/>
          <w:highlight w:val="none"/>
        </w:rPr>
        <w:t>（ ）投标人为法人（包括企业、事业单位和社会团体）的</w:t>
      </w:r>
    </w:p>
    <w:p w14:paraId="05ED069A">
      <w:pPr>
        <w:pStyle w:val="4"/>
        <w:ind w:firstLine="480"/>
        <w:jc w:val="left"/>
        <w:rPr>
          <w:highlight w:val="none"/>
        </w:rPr>
      </w:pPr>
      <w:r>
        <w:rPr>
          <w:rFonts w:ascii="仿宋_GB2312" w:hAnsi="仿宋_GB2312" w:eastAsia="仿宋_GB2312" w:cs="仿宋_GB2312"/>
          <w:highlight w:val="none"/>
        </w:rPr>
        <w:t>现附上由</w:t>
      </w:r>
      <w:r>
        <w:rPr>
          <w:rFonts w:ascii="仿宋_GB2312" w:hAnsi="仿宋_GB2312" w:eastAsia="仿宋_GB2312" w:cs="仿宋_GB2312"/>
          <w:highlight w:val="none"/>
          <w:u w:val="single"/>
        </w:rPr>
        <w:t>（（填写“签发机关全称”）</w:t>
      </w:r>
      <w:r>
        <w:rPr>
          <w:rFonts w:ascii="仿宋_GB2312" w:hAnsi="仿宋_GB2312" w:eastAsia="仿宋_GB2312" w:cs="仿宋_GB2312"/>
          <w:highlight w:val="none"/>
        </w:rPr>
        <w:t>签发的我方统一社会信用代码（请填写法人的具体证照名称）复印件，该证明材料真实有效，否则我方负全部责任。</w:t>
      </w:r>
    </w:p>
    <w:p w14:paraId="52ED7586">
      <w:pPr>
        <w:pStyle w:val="4"/>
        <w:ind w:firstLine="480"/>
        <w:jc w:val="left"/>
        <w:rPr>
          <w:highlight w:val="none"/>
        </w:rPr>
      </w:pPr>
      <w:r>
        <w:rPr>
          <w:rFonts w:ascii="仿宋_GB2312" w:hAnsi="仿宋_GB2312" w:eastAsia="仿宋_GB2312" w:cs="仿宋_GB2312"/>
          <w:highlight w:val="none"/>
        </w:rPr>
        <w:t>（ ）投标人为非法人（包括其他组织、自然人）的</w:t>
      </w:r>
    </w:p>
    <w:p w14:paraId="5FDFA913">
      <w:pPr>
        <w:pStyle w:val="4"/>
        <w:ind w:firstLine="480"/>
        <w:jc w:val="left"/>
        <w:rPr>
          <w:highlight w:val="none"/>
        </w:rPr>
      </w:pPr>
      <w:r>
        <w:rPr>
          <w:rFonts w:ascii="仿宋_GB2312" w:hAnsi="仿宋_GB2312" w:eastAsia="仿宋_GB2312" w:cs="仿宋_GB2312"/>
          <w:highlight w:val="none"/>
        </w:rPr>
        <w:t>□现附上由</w:t>
      </w:r>
      <w:r>
        <w:rPr>
          <w:rFonts w:ascii="仿宋_GB2312" w:hAnsi="仿宋_GB2312" w:eastAsia="仿宋_GB2312" w:cs="仿宋_GB2312"/>
          <w:highlight w:val="none"/>
          <w:u w:val="single"/>
        </w:rPr>
        <w:t>（（填写“签发机关全称”）</w:t>
      </w:r>
      <w:r>
        <w:rPr>
          <w:rFonts w:ascii="仿宋_GB2312" w:hAnsi="仿宋_GB2312" w:eastAsia="仿宋_GB2312" w:cs="仿宋_GB2312"/>
          <w:highlight w:val="none"/>
        </w:rPr>
        <w:t>签发的我方（请填写非自然人的非法人的具体证照名称）复印件，该证明材料真实有效，否则我方负全部责任。</w:t>
      </w:r>
    </w:p>
    <w:p w14:paraId="175F7E94">
      <w:pPr>
        <w:pStyle w:val="4"/>
        <w:ind w:firstLine="480"/>
        <w:jc w:val="left"/>
        <w:rPr>
          <w:highlight w:val="none"/>
        </w:rPr>
      </w:pPr>
      <w:r>
        <w:rPr>
          <w:rFonts w:ascii="仿宋_GB2312" w:hAnsi="仿宋_GB2312" w:eastAsia="仿宋_GB2312" w:cs="仿宋_GB2312"/>
          <w:highlight w:val="none"/>
        </w:rPr>
        <w:t>□现附上由</w:t>
      </w:r>
      <w:r>
        <w:rPr>
          <w:rFonts w:ascii="仿宋_GB2312" w:hAnsi="仿宋_GB2312" w:eastAsia="仿宋_GB2312" w:cs="仿宋_GB2312"/>
          <w:highlight w:val="none"/>
          <w:u w:val="single"/>
        </w:rPr>
        <w:t>（（填写“签发机关全称”）</w:t>
      </w:r>
      <w:r>
        <w:rPr>
          <w:rFonts w:ascii="仿宋_GB2312" w:hAnsi="仿宋_GB2312" w:eastAsia="仿宋_GB2312" w:cs="仿宋_GB2312"/>
          <w:highlight w:val="none"/>
        </w:rPr>
        <w:t>签发的我方（请填写自然人的身份证件名称）复印件，该证明材料真实有效，否则我方负全部责任。</w:t>
      </w:r>
    </w:p>
    <w:p w14:paraId="0E8D4C3C">
      <w:pPr>
        <w:pStyle w:val="4"/>
        <w:ind w:firstLine="480"/>
        <w:jc w:val="left"/>
        <w:rPr>
          <w:highlight w:val="none"/>
        </w:rPr>
      </w:pPr>
      <w:r>
        <w:rPr>
          <w:rFonts w:ascii="仿宋_GB2312" w:hAnsi="仿宋_GB2312" w:eastAsia="仿宋_GB2312" w:cs="仿宋_GB2312"/>
          <w:highlight w:val="none"/>
        </w:rPr>
        <w:t>※注意：</w:t>
      </w:r>
    </w:p>
    <w:p w14:paraId="68A0D0D6">
      <w:pPr>
        <w:pStyle w:val="4"/>
        <w:ind w:firstLine="480"/>
        <w:jc w:val="left"/>
        <w:rPr>
          <w:highlight w:val="none"/>
        </w:rPr>
      </w:pPr>
      <w:r>
        <w:rPr>
          <w:rFonts w:ascii="仿宋_GB2312" w:hAnsi="仿宋_GB2312" w:eastAsia="仿宋_GB2312" w:cs="仿宋_GB2312"/>
          <w:highlight w:val="none"/>
        </w:rPr>
        <w:t>1、请投标人按照实际情况编制填写，在相应的（）中打“√”并选择相应的“□”（若有）后，再按照本格式的要求提供相应证明材料的复印件。</w:t>
      </w:r>
    </w:p>
    <w:p w14:paraId="7F3B0093">
      <w:pPr>
        <w:pStyle w:val="4"/>
        <w:ind w:firstLine="480"/>
        <w:jc w:val="left"/>
        <w:rPr>
          <w:highlight w:val="none"/>
        </w:rPr>
      </w:pPr>
      <w:r>
        <w:rPr>
          <w:rFonts w:ascii="仿宋_GB2312" w:hAnsi="仿宋_GB2312" w:eastAsia="仿宋_GB2312" w:cs="仿宋_GB2312"/>
          <w:highlight w:val="none"/>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14:paraId="04FBA835">
      <w:pPr>
        <w:pStyle w:val="4"/>
        <w:ind w:firstLine="480"/>
        <w:jc w:val="right"/>
        <w:rPr>
          <w:highlight w:val="none"/>
        </w:rPr>
      </w:pPr>
      <w:r>
        <w:rPr>
          <w:rFonts w:ascii="仿宋_GB2312" w:hAnsi="仿宋_GB2312" w:eastAsia="仿宋_GB2312" w:cs="仿宋_GB2312"/>
          <w:highlight w:val="none"/>
        </w:rPr>
        <w:t>投标人：</w:t>
      </w:r>
      <w:r>
        <w:rPr>
          <w:rFonts w:ascii="仿宋_GB2312" w:hAnsi="仿宋_GB2312" w:eastAsia="仿宋_GB2312" w:cs="仿宋_GB2312"/>
          <w:highlight w:val="none"/>
          <w:u w:val="single"/>
        </w:rPr>
        <w:t>（全称并加盖单位公章）</w:t>
      </w:r>
    </w:p>
    <w:p w14:paraId="3CEE7153">
      <w:pPr>
        <w:pStyle w:val="4"/>
        <w:ind w:firstLine="480"/>
        <w:jc w:val="right"/>
        <w:rPr>
          <w:highlight w:val="none"/>
        </w:rPr>
      </w:pPr>
      <w:r>
        <w:rPr>
          <w:rFonts w:ascii="仿宋_GB2312" w:hAnsi="仿宋_GB2312" w:eastAsia="仿宋_GB2312" w:cs="仿宋_GB2312"/>
          <w:highlight w:val="none"/>
        </w:rPr>
        <w:t>日期：</w:t>
      </w:r>
      <w:r>
        <w:rPr>
          <w:rFonts w:ascii="仿宋_GB2312" w:hAnsi="仿宋_GB2312" w:eastAsia="仿宋_GB2312" w:cs="仿宋_GB2312"/>
          <w:highlight w:val="none"/>
          <w:u w:val="single"/>
        </w:rPr>
        <w:t>　　年　　月　　日</w:t>
      </w:r>
    </w:p>
    <w:p w14:paraId="56DC065F">
      <w:pPr>
        <w:pStyle w:val="4"/>
        <w:ind w:firstLine="960"/>
        <w:jc w:val="left"/>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1949CE95">
      <w:pPr>
        <w:pStyle w:val="4"/>
        <w:ind w:firstLine="960"/>
        <w:jc w:val="center"/>
        <w:outlineLvl w:val="3"/>
        <w:rPr>
          <w:highlight w:val="none"/>
        </w:rPr>
      </w:pPr>
      <w:r>
        <w:rPr>
          <w:rFonts w:ascii="仿宋_GB2312" w:hAnsi="仿宋_GB2312" w:eastAsia="仿宋_GB2312" w:cs="仿宋_GB2312"/>
          <w:b/>
          <w:sz w:val="24"/>
          <w:highlight w:val="none"/>
        </w:rPr>
        <w:t>财务状况报告（财务报告、或资信证明）</w:t>
      </w:r>
    </w:p>
    <w:p w14:paraId="6BFB8913">
      <w:pPr>
        <w:pStyle w:val="4"/>
        <w:ind w:firstLine="480"/>
        <w:jc w:val="left"/>
        <w:rPr>
          <w:highlight w:val="none"/>
        </w:rPr>
      </w:pPr>
      <w:r>
        <w:rPr>
          <w:rFonts w:ascii="仿宋_GB2312" w:hAnsi="仿宋_GB2312" w:eastAsia="仿宋_GB2312" w:cs="仿宋_GB2312"/>
          <w:highlight w:val="none"/>
        </w:rPr>
        <w:t>致：</w:t>
      </w:r>
      <w:r>
        <w:rPr>
          <w:rFonts w:ascii="仿宋_GB2312" w:hAnsi="仿宋_GB2312" w:eastAsia="仿宋_GB2312" w:cs="仿宋_GB2312"/>
          <w:highlight w:val="none"/>
          <w:u w:val="single"/>
        </w:rPr>
        <w:t>（采购人或采购代理机构）</w:t>
      </w:r>
    </w:p>
    <w:p w14:paraId="2F50B8C4">
      <w:pPr>
        <w:pStyle w:val="4"/>
        <w:ind w:firstLine="480"/>
        <w:jc w:val="left"/>
        <w:rPr>
          <w:highlight w:val="none"/>
        </w:rPr>
      </w:pPr>
      <w:r>
        <w:rPr>
          <w:rFonts w:ascii="仿宋_GB2312" w:hAnsi="仿宋_GB2312" w:eastAsia="仿宋_GB2312" w:cs="仿宋_GB2312"/>
          <w:highlight w:val="none"/>
        </w:rPr>
        <w:t>（ ）投标人提供财务报告的</w:t>
      </w:r>
    </w:p>
    <w:p w14:paraId="58EA30C4">
      <w:pPr>
        <w:pStyle w:val="4"/>
        <w:ind w:firstLine="480"/>
        <w:jc w:val="left"/>
        <w:rPr>
          <w:highlight w:val="none"/>
        </w:rPr>
      </w:pPr>
      <w:r>
        <w:rPr>
          <w:rFonts w:ascii="仿宋_GB2312" w:hAnsi="仿宋_GB2312" w:eastAsia="仿宋_GB2312" w:cs="仿宋_GB2312"/>
          <w:highlight w:val="none"/>
        </w:rPr>
        <w:t>□企业适用：现附上我方</w:t>
      </w:r>
      <w:r>
        <w:rPr>
          <w:rFonts w:ascii="仿宋_GB2312" w:hAnsi="仿宋_GB2312" w:eastAsia="仿宋_GB2312" w:cs="仿宋_GB2312"/>
          <w:highlight w:val="none"/>
          <w:u w:val="single"/>
        </w:rPr>
        <w:t>（填写“具体的年度、或半年度、季度”）</w:t>
      </w:r>
      <w:r>
        <w:rPr>
          <w:rFonts w:ascii="仿宋_GB2312" w:hAnsi="仿宋_GB2312" w:eastAsia="仿宋_GB2312" w:cs="仿宋_GB2312"/>
          <w:highlight w:val="none"/>
        </w:rPr>
        <w:t>财务报告复印件，包括资产负债表、利润表、现金流量表、所有者权益变动表（若有）及其附注（若有）、会计师事务所营业执照和注册会计师资格证书，上述证明材料真实有效，否则我方负全部责任。</w:t>
      </w:r>
    </w:p>
    <w:p w14:paraId="3E9F5690">
      <w:pPr>
        <w:pStyle w:val="4"/>
        <w:ind w:firstLine="480"/>
        <w:jc w:val="left"/>
        <w:rPr>
          <w:highlight w:val="none"/>
        </w:rPr>
      </w:pPr>
      <w:r>
        <w:rPr>
          <w:rFonts w:ascii="仿宋_GB2312" w:hAnsi="仿宋_GB2312" w:eastAsia="仿宋_GB2312" w:cs="仿宋_GB2312"/>
          <w:highlight w:val="none"/>
        </w:rPr>
        <w:t>□事业单位适用：现附上我方</w:t>
      </w:r>
      <w:r>
        <w:rPr>
          <w:rFonts w:ascii="仿宋_GB2312" w:hAnsi="仿宋_GB2312" w:eastAsia="仿宋_GB2312" w:cs="仿宋_GB2312"/>
          <w:highlight w:val="none"/>
          <w:u w:val="single"/>
        </w:rPr>
        <w:t>（填写“具体的年度、或半年度、或季度”）</w:t>
      </w:r>
      <w:r>
        <w:rPr>
          <w:rFonts w:ascii="仿宋_GB2312" w:hAnsi="仿宋_GB2312" w:eastAsia="仿宋_GB2312" w:cs="仿宋_GB2312"/>
          <w:highlight w:val="none"/>
        </w:rPr>
        <w:t>财务报告复印件，包括资产负债表、收入支出表（或收入费用表）、财政补助收入支出表（若有）、会计师事务所营业执照和注册会计师资格证书，上述证明材料真实有效，否则我方负全部责任。</w:t>
      </w:r>
    </w:p>
    <w:p w14:paraId="65949FA8">
      <w:pPr>
        <w:pStyle w:val="4"/>
        <w:ind w:firstLine="480"/>
        <w:jc w:val="left"/>
        <w:rPr>
          <w:highlight w:val="none"/>
        </w:rPr>
      </w:pPr>
      <w:r>
        <w:rPr>
          <w:rFonts w:ascii="仿宋_GB2312" w:hAnsi="仿宋_GB2312" w:eastAsia="仿宋_GB2312" w:cs="仿宋_GB2312"/>
          <w:highlight w:val="none"/>
        </w:rPr>
        <w:t>□社会团体、民办非企适用：现附上我方</w:t>
      </w:r>
      <w:r>
        <w:rPr>
          <w:rFonts w:ascii="仿宋_GB2312" w:hAnsi="仿宋_GB2312" w:eastAsia="仿宋_GB2312" w:cs="仿宋_GB2312"/>
          <w:highlight w:val="none"/>
          <w:u w:val="single"/>
        </w:rPr>
        <w:t>（填写“具体的年度、或半年度、或季度”）</w:t>
      </w:r>
      <w:r>
        <w:rPr>
          <w:rFonts w:ascii="仿宋_GB2312" w:hAnsi="仿宋_GB2312" w:eastAsia="仿宋_GB2312" w:cs="仿宋_GB2312"/>
          <w:highlight w:val="none"/>
        </w:rPr>
        <w:t>财务报告复印件，包括资产负债表、业务活动表、现金流量表、会计师事务所营业执照和注册会计师资格证书，上述证明材料真实有效，否则我方负全部责任。</w:t>
      </w:r>
    </w:p>
    <w:p w14:paraId="4D576A9E">
      <w:pPr>
        <w:pStyle w:val="4"/>
        <w:ind w:firstLine="480"/>
        <w:jc w:val="left"/>
        <w:rPr>
          <w:highlight w:val="none"/>
        </w:rPr>
      </w:pPr>
      <w:r>
        <w:rPr>
          <w:rFonts w:ascii="仿宋_GB2312" w:hAnsi="仿宋_GB2312" w:eastAsia="仿宋_GB2312" w:cs="仿宋_GB2312"/>
          <w:highlight w:val="none"/>
        </w:rPr>
        <w:t>（ ）投标人提供资信证明的</w:t>
      </w:r>
    </w:p>
    <w:p w14:paraId="4E0AF164">
      <w:pPr>
        <w:pStyle w:val="4"/>
        <w:ind w:firstLine="480"/>
        <w:jc w:val="left"/>
        <w:rPr>
          <w:highlight w:val="none"/>
        </w:rPr>
      </w:pPr>
      <w:r>
        <w:rPr>
          <w:rFonts w:ascii="仿宋_GB2312" w:hAnsi="仿宋_GB2312" w:eastAsia="仿宋_GB2312" w:cs="仿宋_GB2312"/>
          <w:highlight w:val="none"/>
        </w:rPr>
        <w:t>□非自然人适用（包括企业、事业单位、社会团体和其他组织）：现附上我方银行：</w:t>
      </w:r>
      <w:r>
        <w:rPr>
          <w:rFonts w:ascii="仿宋_GB2312" w:hAnsi="仿宋_GB2312" w:eastAsia="仿宋_GB2312" w:cs="仿宋_GB2312"/>
          <w:highlight w:val="none"/>
          <w:u w:val="single"/>
        </w:rPr>
        <w:t>（填写“开户银行全称”）</w:t>
      </w:r>
      <w:r>
        <w:rPr>
          <w:rFonts w:ascii="仿宋_GB2312" w:hAnsi="仿宋_GB2312" w:eastAsia="仿宋_GB2312" w:cs="仿宋_GB2312"/>
          <w:highlight w:val="none"/>
        </w:rPr>
        <w:t>出具的资信证明复印件，上述证明材料真实有效，否则我方负全部责任。</w:t>
      </w:r>
    </w:p>
    <w:p w14:paraId="40E15131">
      <w:pPr>
        <w:pStyle w:val="4"/>
        <w:ind w:firstLine="480"/>
        <w:jc w:val="left"/>
        <w:rPr>
          <w:highlight w:val="none"/>
        </w:rPr>
      </w:pPr>
      <w:r>
        <w:rPr>
          <w:rFonts w:ascii="仿宋_GB2312" w:hAnsi="仿宋_GB2312" w:eastAsia="仿宋_GB2312" w:cs="仿宋_GB2312"/>
          <w:highlight w:val="none"/>
        </w:rPr>
        <w:t>□自然人适用：现附上我方银行</w:t>
      </w:r>
      <w:r>
        <w:rPr>
          <w:rFonts w:ascii="仿宋_GB2312" w:hAnsi="仿宋_GB2312" w:eastAsia="仿宋_GB2312" w:cs="仿宋_GB2312"/>
          <w:highlight w:val="none"/>
          <w:u w:val="single"/>
        </w:rPr>
        <w:t>：（填写自然人的“个人账户的开户银行全称”）</w:t>
      </w:r>
      <w:r>
        <w:rPr>
          <w:rFonts w:ascii="仿宋_GB2312" w:hAnsi="仿宋_GB2312" w:eastAsia="仿宋_GB2312" w:cs="仿宋_GB2312"/>
          <w:highlight w:val="none"/>
        </w:rPr>
        <w:t>出具的资信证明复印件，上述证明材料真实有效，否则我方负全部责任。</w:t>
      </w:r>
    </w:p>
    <w:p w14:paraId="248652ED">
      <w:pPr>
        <w:pStyle w:val="4"/>
        <w:ind w:firstLine="480"/>
        <w:jc w:val="left"/>
        <w:rPr>
          <w:highlight w:val="none"/>
        </w:rPr>
      </w:pPr>
      <w:r>
        <w:rPr>
          <w:rFonts w:ascii="仿宋_GB2312" w:hAnsi="仿宋_GB2312" w:eastAsia="仿宋_GB2312" w:cs="仿宋_GB2312"/>
          <w:highlight w:val="none"/>
        </w:rPr>
        <w:t>※注意：</w:t>
      </w:r>
    </w:p>
    <w:p w14:paraId="471DAC22">
      <w:pPr>
        <w:pStyle w:val="4"/>
        <w:ind w:firstLine="480"/>
        <w:jc w:val="left"/>
        <w:rPr>
          <w:highlight w:val="none"/>
        </w:rPr>
      </w:pPr>
      <w:r>
        <w:rPr>
          <w:rFonts w:ascii="仿宋_GB2312" w:hAnsi="仿宋_GB2312" w:eastAsia="仿宋_GB2312" w:cs="仿宋_GB2312"/>
          <w:highlight w:val="none"/>
        </w:rPr>
        <w:t>1、请投标人按照实际情况编制填写，在相应的（）中打“√”并选择相应的“□”（若有）后，再按照本格式的要求提供相应证明材料的复印件。</w:t>
      </w:r>
    </w:p>
    <w:p w14:paraId="0A478E75">
      <w:pPr>
        <w:pStyle w:val="4"/>
        <w:ind w:firstLine="480"/>
        <w:jc w:val="left"/>
        <w:rPr>
          <w:highlight w:val="none"/>
        </w:rPr>
      </w:pPr>
      <w:r>
        <w:rPr>
          <w:rFonts w:ascii="仿宋_GB2312" w:hAnsi="仿宋_GB2312" w:eastAsia="仿宋_GB2312" w:cs="仿宋_GB2312"/>
          <w:highlight w:val="none"/>
        </w:rPr>
        <w:t>2、投标人提供的财务报告复印件（成立年限按照投标截止时间推算）应符合下列规定：</w:t>
      </w:r>
    </w:p>
    <w:p w14:paraId="7E4D1BC5">
      <w:pPr>
        <w:pStyle w:val="4"/>
        <w:ind w:firstLine="480"/>
        <w:jc w:val="left"/>
        <w:rPr>
          <w:highlight w:val="none"/>
        </w:rPr>
      </w:pPr>
      <w:r>
        <w:rPr>
          <w:rFonts w:ascii="仿宋_GB2312" w:hAnsi="仿宋_GB2312" w:eastAsia="仿宋_GB2312" w:cs="仿宋_GB2312"/>
          <w:highlight w:val="none"/>
        </w:rPr>
        <w:t>2.1成立年限满1年及以上的投标人，提供经审计的招标文件规定的年度财务报告。</w:t>
      </w:r>
    </w:p>
    <w:p w14:paraId="2A183881">
      <w:pPr>
        <w:pStyle w:val="4"/>
        <w:ind w:firstLine="480"/>
        <w:jc w:val="left"/>
        <w:rPr>
          <w:highlight w:val="none"/>
        </w:rPr>
      </w:pPr>
      <w:r>
        <w:rPr>
          <w:rFonts w:ascii="仿宋_GB2312" w:hAnsi="仿宋_GB2312" w:eastAsia="仿宋_GB2312" w:cs="仿宋_GB2312"/>
          <w:highlight w:val="none"/>
        </w:rPr>
        <w:t>2.2成立年限满半年但不足1年的投标人，提供该半年度中任一季度的季度财务报告或该半年度的半年度财务报告。</w:t>
      </w:r>
    </w:p>
    <w:p w14:paraId="31B82C07">
      <w:pPr>
        <w:pStyle w:val="4"/>
        <w:ind w:firstLine="480"/>
        <w:jc w:val="left"/>
        <w:rPr>
          <w:highlight w:val="none"/>
        </w:rPr>
      </w:pPr>
      <w:r>
        <w:rPr>
          <w:rFonts w:ascii="仿宋_GB2312" w:hAnsi="仿宋_GB2312" w:eastAsia="仿宋_GB2312" w:cs="仿宋_GB2312"/>
          <w:highlight w:val="none"/>
        </w:rPr>
        <w:t>※无法按照本格式第2.1、2.2条规定提供财务报告复印件的投标人（包括但不限于：成立年限满1年及以上的投标人、成立年限满半年但不足1年的投标人、成立年限不足半年的投标人），应按照本格式的要求选择提供资信证明复印件。</w:t>
      </w:r>
    </w:p>
    <w:p w14:paraId="2C859026">
      <w:pPr>
        <w:pStyle w:val="4"/>
        <w:ind w:firstLine="480"/>
        <w:jc w:val="right"/>
        <w:rPr>
          <w:highlight w:val="none"/>
        </w:rPr>
      </w:pPr>
      <w:r>
        <w:rPr>
          <w:rFonts w:ascii="仿宋_GB2312" w:hAnsi="仿宋_GB2312" w:eastAsia="仿宋_GB2312" w:cs="仿宋_GB2312"/>
          <w:highlight w:val="none"/>
        </w:rPr>
        <w:t>投标人：</w:t>
      </w:r>
      <w:r>
        <w:rPr>
          <w:rFonts w:ascii="仿宋_GB2312" w:hAnsi="仿宋_GB2312" w:eastAsia="仿宋_GB2312" w:cs="仿宋_GB2312"/>
          <w:highlight w:val="none"/>
          <w:u w:val="single"/>
        </w:rPr>
        <w:t>（全称并加盖单位公章）</w:t>
      </w:r>
    </w:p>
    <w:p w14:paraId="301F203F">
      <w:pPr>
        <w:pStyle w:val="4"/>
        <w:ind w:firstLine="480"/>
        <w:jc w:val="right"/>
        <w:rPr>
          <w:highlight w:val="none"/>
        </w:rPr>
      </w:pPr>
      <w:r>
        <w:rPr>
          <w:rFonts w:ascii="仿宋_GB2312" w:hAnsi="仿宋_GB2312" w:eastAsia="仿宋_GB2312" w:cs="仿宋_GB2312"/>
          <w:highlight w:val="none"/>
        </w:rPr>
        <w:t>日期：</w:t>
      </w:r>
      <w:r>
        <w:rPr>
          <w:rFonts w:ascii="仿宋_GB2312" w:hAnsi="仿宋_GB2312" w:eastAsia="仿宋_GB2312" w:cs="仿宋_GB2312"/>
          <w:highlight w:val="none"/>
          <w:u w:val="single"/>
        </w:rPr>
        <w:t>　　年　　月　　日</w:t>
      </w:r>
    </w:p>
    <w:p w14:paraId="7817887F">
      <w:pPr>
        <w:pStyle w:val="4"/>
        <w:ind w:firstLine="960"/>
        <w:jc w:val="left"/>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76AC8BD9">
      <w:pPr>
        <w:pStyle w:val="4"/>
        <w:ind w:firstLine="960"/>
        <w:jc w:val="center"/>
        <w:outlineLvl w:val="3"/>
        <w:rPr>
          <w:highlight w:val="none"/>
        </w:rPr>
      </w:pPr>
      <w:r>
        <w:rPr>
          <w:rFonts w:ascii="仿宋_GB2312" w:hAnsi="仿宋_GB2312" w:eastAsia="仿宋_GB2312" w:cs="仿宋_GB2312"/>
          <w:b/>
          <w:sz w:val="24"/>
          <w:highlight w:val="none"/>
        </w:rPr>
        <w:t>依法缴纳税收证明材料</w:t>
      </w:r>
    </w:p>
    <w:p w14:paraId="73B5CBB3">
      <w:pPr>
        <w:pStyle w:val="4"/>
        <w:ind w:firstLine="480"/>
        <w:jc w:val="left"/>
        <w:rPr>
          <w:highlight w:val="none"/>
        </w:rPr>
      </w:pPr>
      <w:r>
        <w:rPr>
          <w:rFonts w:ascii="仿宋_GB2312" w:hAnsi="仿宋_GB2312" w:eastAsia="仿宋_GB2312" w:cs="仿宋_GB2312"/>
          <w:highlight w:val="none"/>
        </w:rPr>
        <w:t>致：</w:t>
      </w:r>
      <w:r>
        <w:rPr>
          <w:rFonts w:ascii="仿宋_GB2312" w:hAnsi="仿宋_GB2312" w:eastAsia="仿宋_GB2312" w:cs="仿宋_GB2312"/>
          <w:highlight w:val="none"/>
          <w:u w:val="single"/>
        </w:rPr>
        <w:t>（采购人或采购代理机构）</w:t>
      </w:r>
    </w:p>
    <w:p w14:paraId="39C0CC20">
      <w:pPr>
        <w:pStyle w:val="4"/>
        <w:ind w:firstLine="480"/>
        <w:jc w:val="left"/>
        <w:rPr>
          <w:highlight w:val="none"/>
        </w:rPr>
      </w:pPr>
      <w:r>
        <w:rPr>
          <w:rFonts w:ascii="仿宋_GB2312" w:hAnsi="仿宋_GB2312" w:eastAsia="仿宋_GB2312" w:cs="仿宋_GB2312"/>
          <w:highlight w:val="none"/>
        </w:rPr>
        <w:t>1、依法缴纳税收的投标人</w:t>
      </w:r>
    </w:p>
    <w:p w14:paraId="2120974B">
      <w:pPr>
        <w:pStyle w:val="4"/>
        <w:ind w:firstLine="480"/>
        <w:jc w:val="left"/>
        <w:rPr>
          <w:highlight w:val="none"/>
        </w:rPr>
      </w:pPr>
      <w:r>
        <w:rPr>
          <w:rFonts w:ascii="仿宋_GB2312" w:hAnsi="仿宋_GB2312" w:eastAsia="仿宋_GB2312" w:cs="仿宋_GB2312"/>
          <w:highlight w:val="none"/>
        </w:rPr>
        <w:t>（ ）法人（包括企业、事业单位和社会团体）的</w:t>
      </w:r>
    </w:p>
    <w:p w14:paraId="72F541BE">
      <w:pPr>
        <w:pStyle w:val="4"/>
        <w:ind w:firstLine="480"/>
        <w:jc w:val="left"/>
        <w:rPr>
          <w:highlight w:val="none"/>
        </w:rPr>
      </w:pPr>
      <w:r>
        <w:rPr>
          <w:rFonts w:ascii="仿宋_GB2312" w:hAnsi="仿宋_GB2312" w:eastAsia="仿宋_GB2312" w:cs="仿宋_GB2312"/>
          <w:highlight w:val="none"/>
        </w:rPr>
        <w:t>现附上自</w:t>
      </w:r>
      <w:r>
        <w:rPr>
          <w:rFonts w:ascii="仿宋_GB2312" w:hAnsi="仿宋_GB2312" w:eastAsia="仿宋_GB2312" w:cs="仿宋_GB2312"/>
          <w:highlight w:val="none"/>
          <w:u w:val="single"/>
        </w:rPr>
        <w:t>　　年　　月　　日</w:t>
      </w:r>
      <w:r>
        <w:rPr>
          <w:rFonts w:ascii="仿宋_GB2312" w:hAnsi="仿宋_GB2312" w:eastAsia="仿宋_GB2312" w:cs="仿宋_GB2312"/>
          <w:highlight w:val="none"/>
        </w:rPr>
        <w:t>至</w:t>
      </w:r>
      <w:r>
        <w:rPr>
          <w:rFonts w:ascii="仿宋_GB2312" w:hAnsi="仿宋_GB2312" w:eastAsia="仿宋_GB2312" w:cs="仿宋_GB2312"/>
          <w:highlight w:val="none"/>
          <w:u w:val="single"/>
        </w:rPr>
        <w:t>　　年　　月　　日</w:t>
      </w:r>
      <w:r>
        <w:rPr>
          <w:rFonts w:ascii="仿宋_GB2312" w:hAnsi="仿宋_GB2312" w:eastAsia="仿宋_GB2312" w:cs="仿宋_GB2312"/>
          <w:highlight w:val="none"/>
        </w:rPr>
        <w:t>期间我方缴纳（包括但不限于税务机关出具的专用收据、税收缴纳证明或税收代缴银行的缴款收讫凭证）等税收凭据复印件，上述证明材料真实有效，否则我方负全部责任。</w:t>
      </w:r>
    </w:p>
    <w:p w14:paraId="5F5808A6">
      <w:pPr>
        <w:pStyle w:val="4"/>
        <w:ind w:firstLine="480"/>
        <w:jc w:val="left"/>
        <w:rPr>
          <w:highlight w:val="none"/>
        </w:rPr>
      </w:pPr>
      <w:r>
        <w:rPr>
          <w:rFonts w:ascii="仿宋_GB2312" w:hAnsi="仿宋_GB2312" w:eastAsia="仿宋_GB2312" w:cs="仿宋_GB2312"/>
          <w:highlight w:val="none"/>
        </w:rPr>
        <w:t>（ ）非法人（包括其他组织、自然人）的</w:t>
      </w:r>
    </w:p>
    <w:p w14:paraId="0B42A74E">
      <w:pPr>
        <w:pStyle w:val="4"/>
        <w:ind w:firstLine="480"/>
        <w:jc w:val="left"/>
        <w:rPr>
          <w:highlight w:val="none"/>
        </w:rPr>
      </w:pPr>
      <w:r>
        <w:rPr>
          <w:rFonts w:ascii="仿宋_GB2312" w:hAnsi="仿宋_GB2312" w:eastAsia="仿宋_GB2312" w:cs="仿宋_GB2312"/>
          <w:highlight w:val="none"/>
        </w:rPr>
        <w:t>现附上自</w:t>
      </w:r>
      <w:r>
        <w:rPr>
          <w:rFonts w:ascii="仿宋_GB2312" w:hAnsi="仿宋_GB2312" w:eastAsia="仿宋_GB2312" w:cs="仿宋_GB2312"/>
          <w:highlight w:val="none"/>
          <w:u w:val="single"/>
        </w:rPr>
        <w:t>　　年　　月　　日</w:t>
      </w:r>
      <w:r>
        <w:rPr>
          <w:rFonts w:ascii="仿宋_GB2312" w:hAnsi="仿宋_GB2312" w:eastAsia="仿宋_GB2312" w:cs="仿宋_GB2312"/>
          <w:highlight w:val="none"/>
        </w:rPr>
        <w:t>至</w:t>
      </w:r>
      <w:r>
        <w:rPr>
          <w:rFonts w:ascii="仿宋_GB2312" w:hAnsi="仿宋_GB2312" w:eastAsia="仿宋_GB2312" w:cs="仿宋_GB2312"/>
          <w:highlight w:val="none"/>
          <w:u w:val="single"/>
        </w:rPr>
        <w:t>　　年　　月　　日</w:t>
      </w:r>
      <w:r>
        <w:rPr>
          <w:rFonts w:ascii="仿宋_GB2312" w:hAnsi="仿宋_GB2312" w:eastAsia="仿宋_GB2312" w:cs="仿宋_GB2312"/>
          <w:highlight w:val="none"/>
        </w:rPr>
        <w:t>期间我方缴纳（包括但不限于税务机关出具的专用收据、税收缴纳证明或税收代缴银行的缴款收讫凭证）等税收凭据复印件，上述证明材料真实有效，否则我方负全部责任。</w:t>
      </w:r>
    </w:p>
    <w:p w14:paraId="3EBE1AE2">
      <w:pPr>
        <w:pStyle w:val="4"/>
        <w:ind w:firstLine="480"/>
        <w:jc w:val="left"/>
        <w:rPr>
          <w:highlight w:val="none"/>
        </w:rPr>
      </w:pPr>
      <w:r>
        <w:rPr>
          <w:rFonts w:ascii="仿宋_GB2312" w:hAnsi="仿宋_GB2312" w:eastAsia="仿宋_GB2312" w:cs="仿宋_GB2312"/>
          <w:highlight w:val="none"/>
        </w:rPr>
        <w:t>2、依法免税的投标人</w:t>
      </w:r>
    </w:p>
    <w:p w14:paraId="5E01ADC8">
      <w:pPr>
        <w:pStyle w:val="4"/>
        <w:ind w:firstLine="480"/>
        <w:jc w:val="left"/>
        <w:rPr>
          <w:highlight w:val="none"/>
        </w:rPr>
      </w:pPr>
      <w:r>
        <w:rPr>
          <w:rFonts w:ascii="仿宋_GB2312" w:hAnsi="仿宋_GB2312" w:eastAsia="仿宋_GB2312" w:cs="仿宋_GB2312"/>
          <w:highlight w:val="none"/>
        </w:rPr>
        <w:t>（ ）现附上我方依法免税的证明材料复印件，上述证明材料真实有效，否则我方负全部责任。</w:t>
      </w:r>
    </w:p>
    <w:p w14:paraId="13B172BB">
      <w:pPr>
        <w:pStyle w:val="4"/>
        <w:ind w:firstLine="480"/>
        <w:jc w:val="left"/>
        <w:rPr>
          <w:highlight w:val="none"/>
        </w:rPr>
      </w:pPr>
      <w:r>
        <w:rPr>
          <w:rFonts w:ascii="仿宋_GB2312" w:hAnsi="仿宋_GB2312" w:eastAsia="仿宋_GB2312" w:cs="仿宋_GB2312"/>
          <w:highlight w:val="none"/>
        </w:rPr>
        <w:t>※注意：</w:t>
      </w:r>
    </w:p>
    <w:p w14:paraId="3E133915">
      <w:pPr>
        <w:pStyle w:val="4"/>
        <w:ind w:firstLine="480"/>
        <w:jc w:val="left"/>
        <w:rPr>
          <w:highlight w:val="none"/>
        </w:rPr>
      </w:pPr>
      <w:r>
        <w:rPr>
          <w:rFonts w:ascii="仿宋_GB2312" w:hAnsi="仿宋_GB2312" w:eastAsia="仿宋_GB2312" w:cs="仿宋_GB2312"/>
          <w:highlight w:val="none"/>
        </w:rPr>
        <w:t>1、请投标人按照实际情况编制填写，在相应的（）中打“√”，并按照本格式的要求提供相应证明材料的复印件。</w:t>
      </w:r>
    </w:p>
    <w:p w14:paraId="3DB7EA22">
      <w:pPr>
        <w:pStyle w:val="4"/>
        <w:ind w:firstLine="480"/>
        <w:jc w:val="left"/>
        <w:rPr>
          <w:highlight w:val="none"/>
        </w:rPr>
      </w:pPr>
      <w:r>
        <w:rPr>
          <w:rFonts w:ascii="仿宋_GB2312" w:hAnsi="仿宋_GB2312" w:eastAsia="仿宋_GB2312" w:cs="仿宋_GB2312"/>
          <w:highlight w:val="none"/>
        </w:rPr>
        <w:t>2、投标人提供的税收缴纳凭据复印件应符合下列规定：</w:t>
      </w:r>
    </w:p>
    <w:p w14:paraId="2A3FA164">
      <w:pPr>
        <w:pStyle w:val="4"/>
        <w:ind w:firstLine="480"/>
        <w:jc w:val="left"/>
        <w:rPr>
          <w:highlight w:val="none"/>
        </w:rPr>
      </w:pPr>
      <w:r>
        <w:rPr>
          <w:rFonts w:ascii="仿宋_GB2312" w:hAnsi="仿宋_GB2312" w:eastAsia="仿宋_GB2312" w:cs="仿宋_GB2312"/>
          <w:highlight w:val="none"/>
        </w:rPr>
        <w:t>2.1投标截止时间前（不含投标截止时间的当月）已依法缴纳税收的投标人，提供投标截止时间前六个月（不含投标截止时间的当月）中任一月份的税收缴纳凭据复印件。</w:t>
      </w:r>
    </w:p>
    <w:p w14:paraId="259A06EC">
      <w:pPr>
        <w:pStyle w:val="4"/>
        <w:ind w:firstLine="480"/>
        <w:jc w:val="left"/>
        <w:rPr>
          <w:highlight w:val="none"/>
        </w:rPr>
      </w:pPr>
      <w:r>
        <w:rPr>
          <w:rFonts w:ascii="仿宋_GB2312" w:hAnsi="仿宋_GB2312" w:eastAsia="仿宋_GB2312" w:cs="仿宋_GB2312"/>
          <w:highlight w:val="none"/>
        </w:rPr>
        <w:t>2.2投标截止时间的当月成立的投标人，视同满足本项资格条件要求。</w:t>
      </w:r>
    </w:p>
    <w:p w14:paraId="7D951299">
      <w:pPr>
        <w:pStyle w:val="4"/>
        <w:ind w:firstLine="480"/>
        <w:jc w:val="left"/>
        <w:rPr>
          <w:highlight w:val="none"/>
        </w:rPr>
      </w:pPr>
      <w:r>
        <w:rPr>
          <w:rFonts w:ascii="仿宋_GB2312" w:hAnsi="仿宋_GB2312" w:eastAsia="仿宋_GB2312" w:cs="仿宋_GB2312"/>
          <w:highlight w:val="none"/>
        </w:rPr>
        <w:t>3、若为依法免税范围的投标人，提供依法免税证明材料的，视同满足本项资格条件要求。</w:t>
      </w:r>
    </w:p>
    <w:p w14:paraId="75FB534C">
      <w:pPr>
        <w:pStyle w:val="4"/>
        <w:ind w:firstLine="480"/>
        <w:jc w:val="right"/>
        <w:rPr>
          <w:highlight w:val="none"/>
        </w:rPr>
      </w:pPr>
      <w:r>
        <w:rPr>
          <w:rFonts w:ascii="仿宋_GB2312" w:hAnsi="仿宋_GB2312" w:eastAsia="仿宋_GB2312" w:cs="仿宋_GB2312"/>
          <w:highlight w:val="none"/>
        </w:rPr>
        <w:t>投标人：</w:t>
      </w:r>
      <w:r>
        <w:rPr>
          <w:rFonts w:ascii="仿宋_GB2312" w:hAnsi="仿宋_GB2312" w:eastAsia="仿宋_GB2312" w:cs="仿宋_GB2312"/>
          <w:highlight w:val="none"/>
          <w:u w:val="single"/>
        </w:rPr>
        <w:t>（全称并加盖单位公章）</w:t>
      </w:r>
    </w:p>
    <w:p w14:paraId="1F7A11DF">
      <w:pPr>
        <w:pStyle w:val="4"/>
        <w:ind w:firstLine="480"/>
        <w:jc w:val="right"/>
        <w:rPr>
          <w:highlight w:val="none"/>
        </w:rPr>
      </w:pPr>
      <w:r>
        <w:rPr>
          <w:rFonts w:ascii="仿宋_GB2312" w:hAnsi="仿宋_GB2312" w:eastAsia="仿宋_GB2312" w:cs="仿宋_GB2312"/>
          <w:highlight w:val="none"/>
        </w:rPr>
        <w:t>日期：</w:t>
      </w:r>
      <w:r>
        <w:rPr>
          <w:rFonts w:ascii="仿宋_GB2312" w:hAnsi="仿宋_GB2312" w:eastAsia="仿宋_GB2312" w:cs="仿宋_GB2312"/>
          <w:highlight w:val="none"/>
          <w:u w:val="single"/>
        </w:rPr>
        <w:t>　　年　　月　　日</w:t>
      </w:r>
    </w:p>
    <w:p w14:paraId="3212A1DF">
      <w:pPr>
        <w:pStyle w:val="4"/>
        <w:ind w:firstLine="960"/>
        <w:jc w:val="left"/>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22A60F97">
      <w:pPr>
        <w:pStyle w:val="4"/>
        <w:ind w:firstLine="960"/>
        <w:jc w:val="center"/>
        <w:outlineLvl w:val="3"/>
        <w:rPr>
          <w:highlight w:val="none"/>
        </w:rPr>
      </w:pPr>
      <w:r>
        <w:rPr>
          <w:rFonts w:ascii="仿宋_GB2312" w:hAnsi="仿宋_GB2312" w:eastAsia="仿宋_GB2312" w:cs="仿宋_GB2312"/>
          <w:b/>
          <w:sz w:val="24"/>
          <w:highlight w:val="none"/>
        </w:rPr>
        <w:t>依法缴纳社会保障资金证明材料</w:t>
      </w:r>
    </w:p>
    <w:p w14:paraId="33F64218">
      <w:pPr>
        <w:pStyle w:val="4"/>
        <w:ind w:firstLine="480"/>
        <w:jc w:val="left"/>
        <w:rPr>
          <w:highlight w:val="none"/>
        </w:rPr>
      </w:pPr>
      <w:r>
        <w:rPr>
          <w:rFonts w:ascii="仿宋_GB2312" w:hAnsi="仿宋_GB2312" w:eastAsia="仿宋_GB2312" w:cs="仿宋_GB2312"/>
          <w:highlight w:val="none"/>
        </w:rPr>
        <w:t>致：</w:t>
      </w:r>
      <w:r>
        <w:rPr>
          <w:rFonts w:ascii="仿宋_GB2312" w:hAnsi="仿宋_GB2312" w:eastAsia="仿宋_GB2312" w:cs="仿宋_GB2312"/>
          <w:highlight w:val="none"/>
          <w:u w:val="single"/>
        </w:rPr>
        <w:t>（采购人或采购代理机构）</w:t>
      </w:r>
    </w:p>
    <w:p w14:paraId="505D9692">
      <w:pPr>
        <w:pStyle w:val="4"/>
        <w:ind w:firstLine="480"/>
        <w:jc w:val="left"/>
        <w:rPr>
          <w:highlight w:val="none"/>
        </w:rPr>
      </w:pPr>
      <w:r>
        <w:rPr>
          <w:rFonts w:ascii="仿宋_GB2312" w:hAnsi="仿宋_GB2312" w:eastAsia="仿宋_GB2312" w:cs="仿宋_GB2312"/>
          <w:highlight w:val="none"/>
        </w:rPr>
        <w:t>1、依法缴纳社会保障资金的投标人</w:t>
      </w:r>
    </w:p>
    <w:p w14:paraId="44B5C62B">
      <w:pPr>
        <w:pStyle w:val="4"/>
        <w:ind w:firstLine="480"/>
        <w:jc w:val="left"/>
        <w:rPr>
          <w:highlight w:val="none"/>
        </w:rPr>
      </w:pPr>
      <w:r>
        <w:rPr>
          <w:rFonts w:ascii="仿宋_GB2312" w:hAnsi="仿宋_GB2312" w:eastAsia="仿宋_GB2312" w:cs="仿宋_GB2312"/>
          <w:highlight w:val="none"/>
        </w:rPr>
        <w:t>（ ）法人（包括企业、事业单位和社会团体）的</w:t>
      </w:r>
    </w:p>
    <w:p w14:paraId="15CA7AD6">
      <w:pPr>
        <w:pStyle w:val="4"/>
        <w:ind w:firstLine="480"/>
        <w:jc w:val="left"/>
        <w:rPr>
          <w:highlight w:val="none"/>
        </w:rPr>
      </w:pPr>
      <w:r>
        <w:rPr>
          <w:rFonts w:ascii="仿宋_GB2312" w:hAnsi="仿宋_GB2312" w:eastAsia="仿宋_GB2312" w:cs="仿宋_GB2312"/>
          <w:highlight w:val="none"/>
        </w:rPr>
        <w:t>现附上自</w:t>
      </w:r>
      <w:r>
        <w:rPr>
          <w:rFonts w:ascii="仿宋_GB2312" w:hAnsi="仿宋_GB2312" w:eastAsia="仿宋_GB2312" w:cs="仿宋_GB2312"/>
          <w:highlight w:val="none"/>
          <w:u w:val="single"/>
        </w:rPr>
        <w:t>　　年　　月　　日</w:t>
      </w:r>
      <w:r>
        <w:rPr>
          <w:rFonts w:ascii="仿宋_GB2312" w:hAnsi="仿宋_GB2312" w:eastAsia="仿宋_GB2312" w:cs="仿宋_GB2312"/>
          <w:highlight w:val="none"/>
        </w:rPr>
        <w:t>至</w:t>
      </w:r>
      <w:r>
        <w:rPr>
          <w:rFonts w:ascii="仿宋_GB2312" w:hAnsi="仿宋_GB2312" w:eastAsia="仿宋_GB2312" w:cs="仿宋_GB2312"/>
          <w:highlight w:val="none"/>
          <w:u w:val="single"/>
        </w:rPr>
        <w:t>　　年　　月　　日</w:t>
      </w:r>
      <w:r>
        <w:rPr>
          <w:rFonts w:ascii="仿宋_GB2312" w:hAnsi="仿宋_GB2312" w:eastAsia="仿宋_GB2312" w:cs="仿宋_GB2312"/>
          <w:highlight w:val="none"/>
        </w:rPr>
        <w:t>我方缴纳的社会保险凭据（限：税务机关/社会保障资金管理机关的专用收据或社会保险缴纳清单，或社会保险的银行缴款收讫凭证）复印件，上述证明材料真实有效，否则我方负全部责任。</w:t>
      </w:r>
    </w:p>
    <w:p w14:paraId="79653621">
      <w:pPr>
        <w:pStyle w:val="4"/>
        <w:ind w:firstLine="480"/>
        <w:jc w:val="left"/>
        <w:rPr>
          <w:highlight w:val="none"/>
        </w:rPr>
      </w:pPr>
      <w:r>
        <w:rPr>
          <w:rFonts w:ascii="仿宋_GB2312" w:hAnsi="仿宋_GB2312" w:eastAsia="仿宋_GB2312" w:cs="仿宋_GB2312"/>
          <w:highlight w:val="none"/>
        </w:rPr>
        <w:t>（ ）非法人（包括其他组织、自然人）的</w:t>
      </w:r>
    </w:p>
    <w:p w14:paraId="52CB4DC8">
      <w:pPr>
        <w:pStyle w:val="4"/>
        <w:ind w:firstLine="480"/>
        <w:jc w:val="left"/>
        <w:rPr>
          <w:highlight w:val="none"/>
        </w:rPr>
      </w:pPr>
      <w:r>
        <w:rPr>
          <w:rFonts w:ascii="仿宋_GB2312" w:hAnsi="仿宋_GB2312" w:eastAsia="仿宋_GB2312" w:cs="仿宋_GB2312"/>
          <w:highlight w:val="none"/>
        </w:rPr>
        <w:t>自</w:t>
      </w:r>
      <w:r>
        <w:rPr>
          <w:rFonts w:ascii="仿宋_GB2312" w:hAnsi="仿宋_GB2312" w:eastAsia="仿宋_GB2312" w:cs="仿宋_GB2312"/>
          <w:highlight w:val="none"/>
          <w:u w:val="single"/>
        </w:rPr>
        <w:t>　　年　　月　　日</w:t>
      </w:r>
      <w:r>
        <w:rPr>
          <w:rFonts w:ascii="仿宋_GB2312" w:hAnsi="仿宋_GB2312" w:eastAsia="仿宋_GB2312" w:cs="仿宋_GB2312"/>
          <w:highlight w:val="none"/>
        </w:rPr>
        <w:t>至</w:t>
      </w:r>
      <w:r>
        <w:rPr>
          <w:rFonts w:ascii="仿宋_GB2312" w:hAnsi="仿宋_GB2312" w:eastAsia="仿宋_GB2312" w:cs="仿宋_GB2312"/>
          <w:highlight w:val="none"/>
          <w:u w:val="single"/>
        </w:rPr>
        <w:t>　　年　　月　　日</w:t>
      </w:r>
      <w:r>
        <w:rPr>
          <w:rFonts w:ascii="仿宋_GB2312" w:hAnsi="仿宋_GB2312" w:eastAsia="仿宋_GB2312" w:cs="仿宋_GB2312"/>
          <w:highlight w:val="none"/>
        </w:rPr>
        <w:t>我方缴纳的社会保险凭据（限：税务机关/社会保障资金管理机关的专用收据或社会保险缴纳清单，或社会保险的银行缴款收讫凭证）复印件，上述证明材料真实有效，否则我方负全部责任。</w:t>
      </w:r>
    </w:p>
    <w:p w14:paraId="2C0FA1C6">
      <w:pPr>
        <w:pStyle w:val="4"/>
        <w:ind w:firstLine="480"/>
        <w:jc w:val="left"/>
        <w:rPr>
          <w:highlight w:val="none"/>
        </w:rPr>
      </w:pPr>
      <w:r>
        <w:rPr>
          <w:rFonts w:ascii="仿宋_GB2312" w:hAnsi="仿宋_GB2312" w:eastAsia="仿宋_GB2312" w:cs="仿宋_GB2312"/>
          <w:highlight w:val="none"/>
        </w:rPr>
        <w:t>2、依法不需要缴纳或暂缓缴纳社会保障资金的投标人</w:t>
      </w:r>
    </w:p>
    <w:p w14:paraId="62334A84">
      <w:pPr>
        <w:pStyle w:val="4"/>
        <w:ind w:firstLine="480"/>
        <w:jc w:val="left"/>
        <w:rPr>
          <w:highlight w:val="none"/>
        </w:rPr>
      </w:pPr>
      <w:r>
        <w:rPr>
          <w:rFonts w:ascii="仿宋_GB2312" w:hAnsi="仿宋_GB2312" w:eastAsia="仿宋_GB2312" w:cs="仿宋_GB2312"/>
          <w:highlight w:val="none"/>
        </w:rPr>
        <w:t>（ ）现附上我方依法不需要缴纳或暂缓缴纳社会保障资金证明材料复印件，上述证明材料真实有效，否则我方负全部责任。</w:t>
      </w:r>
    </w:p>
    <w:p w14:paraId="5BC1C935">
      <w:pPr>
        <w:pStyle w:val="4"/>
        <w:ind w:firstLine="480"/>
        <w:jc w:val="left"/>
        <w:rPr>
          <w:highlight w:val="none"/>
        </w:rPr>
      </w:pPr>
      <w:r>
        <w:rPr>
          <w:rFonts w:ascii="仿宋_GB2312" w:hAnsi="仿宋_GB2312" w:eastAsia="仿宋_GB2312" w:cs="仿宋_GB2312"/>
          <w:highlight w:val="none"/>
        </w:rPr>
        <w:t>※注意：</w:t>
      </w:r>
    </w:p>
    <w:p w14:paraId="517774C6">
      <w:pPr>
        <w:pStyle w:val="4"/>
        <w:ind w:firstLine="480"/>
        <w:jc w:val="left"/>
        <w:rPr>
          <w:highlight w:val="none"/>
        </w:rPr>
      </w:pPr>
      <w:r>
        <w:rPr>
          <w:rFonts w:ascii="仿宋_GB2312" w:hAnsi="仿宋_GB2312" w:eastAsia="仿宋_GB2312" w:cs="仿宋_GB2312"/>
          <w:highlight w:val="none"/>
        </w:rPr>
        <w:t>1、请投标人按照实际情况编制填写，在相应的（）中打“√”，并按照本格式的要求提供相应证明材料的复印件。</w:t>
      </w:r>
    </w:p>
    <w:p w14:paraId="2848EDC1">
      <w:pPr>
        <w:pStyle w:val="4"/>
        <w:ind w:firstLine="480"/>
        <w:jc w:val="left"/>
        <w:rPr>
          <w:highlight w:val="none"/>
        </w:rPr>
      </w:pPr>
      <w:r>
        <w:rPr>
          <w:rFonts w:ascii="仿宋_GB2312" w:hAnsi="仿宋_GB2312" w:eastAsia="仿宋_GB2312" w:cs="仿宋_GB2312"/>
          <w:highlight w:val="none"/>
        </w:rPr>
        <w:t>2、投标人提供的社会保障资金缴纳凭据复印件应符合下列规定：</w:t>
      </w:r>
    </w:p>
    <w:p w14:paraId="0D624435">
      <w:pPr>
        <w:pStyle w:val="4"/>
        <w:ind w:firstLine="480"/>
        <w:jc w:val="left"/>
        <w:rPr>
          <w:highlight w:val="none"/>
        </w:rPr>
      </w:pPr>
      <w:r>
        <w:rPr>
          <w:rFonts w:ascii="仿宋_GB2312" w:hAnsi="仿宋_GB2312" w:eastAsia="仿宋_GB2312" w:cs="仿宋_GB2312"/>
          <w:highlight w:val="none"/>
        </w:rPr>
        <w:t>2.1投标截止时间前（不含投标截止时间的当月）已依法缴纳社会保障资金的投标人，提供投标截止时间前六个月（不含投标截止时间的当月）中任一月份的社会保障资金缴纳凭据复印件。</w:t>
      </w:r>
    </w:p>
    <w:p w14:paraId="696224DE">
      <w:pPr>
        <w:pStyle w:val="4"/>
        <w:ind w:firstLine="480"/>
        <w:jc w:val="left"/>
        <w:rPr>
          <w:highlight w:val="none"/>
        </w:rPr>
      </w:pPr>
      <w:r>
        <w:rPr>
          <w:rFonts w:ascii="仿宋_GB2312" w:hAnsi="仿宋_GB2312" w:eastAsia="仿宋_GB2312" w:cs="仿宋_GB2312"/>
          <w:highlight w:val="none"/>
        </w:rPr>
        <w:t>2.2投标截止时间的当月成立的投标人，视同满足本项资格条件要求。</w:t>
      </w:r>
    </w:p>
    <w:p w14:paraId="77A20226">
      <w:pPr>
        <w:pStyle w:val="4"/>
        <w:ind w:firstLine="480"/>
        <w:jc w:val="left"/>
        <w:rPr>
          <w:highlight w:val="none"/>
        </w:rPr>
      </w:pPr>
      <w:r>
        <w:rPr>
          <w:rFonts w:ascii="仿宋_GB2312" w:hAnsi="仿宋_GB2312" w:eastAsia="仿宋_GB2312" w:cs="仿宋_GB2312"/>
          <w:highlight w:val="none"/>
        </w:rPr>
        <w:t>3、若为依法不需要缴纳或暂缓缴纳社会保障资金的投标人，提供依法不需要缴纳或暂缓缴纳社会保障资金证明材料的，视同满足本项资格条件要求。</w:t>
      </w:r>
    </w:p>
    <w:p w14:paraId="798A7EF0">
      <w:pPr>
        <w:pStyle w:val="4"/>
        <w:ind w:firstLine="480"/>
        <w:jc w:val="right"/>
        <w:rPr>
          <w:highlight w:val="none"/>
        </w:rPr>
      </w:pPr>
      <w:r>
        <w:rPr>
          <w:rFonts w:ascii="仿宋_GB2312" w:hAnsi="仿宋_GB2312" w:eastAsia="仿宋_GB2312" w:cs="仿宋_GB2312"/>
          <w:highlight w:val="none"/>
        </w:rPr>
        <w:t>投标人：</w:t>
      </w:r>
      <w:r>
        <w:rPr>
          <w:rFonts w:ascii="仿宋_GB2312" w:hAnsi="仿宋_GB2312" w:eastAsia="仿宋_GB2312" w:cs="仿宋_GB2312"/>
          <w:highlight w:val="none"/>
          <w:u w:val="single"/>
        </w:rPr>
        <w:t>（全称并加盖单位公章）</w:t>
      </w:r>
    </w:p>
    <w:p w14:paraId="04A20507">
      <w:pPr>
        <w:pStyle w:val="4"/>
        <w:ind w:firstLine="480"/>
        <w:jc w:val="right"/>
        <w:rPr>
          <w:highlight w:val="none"/>
        </w:rPr>
      </w:pPr>
      <w:r>
        <w:rPr>
          <w:rFonts w:ascii="仿宋_GB2312" w:hAnsi="仿宋_GB2312" w:eastAsia="仿宋_GB2312" w:cs="仿宋_GB2312"/>
          <w:highlight w:val="none"/>
        </w:rPr>
        <w:t>日期：</w:t>
      </w:r>
      <w:r>
        <w:rPr>
          <w:rFonts w:ascii="仿宋_GB2312" w:hAnsi="仿宋_GB2312" w:eastAsia="仿宋_GB2312" w:cs="仿宋_GB2312"/>
          <w:highlight w:val="none"/>
          <w:u w:val="single"/>
        </w:rPr>
        <w:t>　　年　　月　　日</w:t>
      </w:r>
    </w:p>
    <w:p w14:paraId="3D7B2F9F">
      <w:pPr>
        <w:pStyle w:val="4"/>
        <w:ind w:firstLine="960"/>
        <w:jc w:val="left"/>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40BB3343">
      <w:pPr>
        <w:pStyle w:val="4"/>
        <w:ind w:firstLine="960"/>
        <w:jc w:val="center"/>
        <w:outlineLvl w:val="3"/>
        <w:rPr>
          <w:highlight w:val="none"/>
        </w:rPr>
      </w:pPr>
      <w:r>
        <w:rPr>
          <w:rFonts w:ascii="仿宋_GB2312" w:hAnsi="仿宋_GB2312" w:eastAsia="仿宋_GB2312" w:cs="仿宋_GB2312"/>
          <w:b/>
          <w:sz w:val="24"/>
          <w:highlight w:val="none"/>
        </w:rPr>
        <w:t>具备履行合同所必需设备和专业技术能力的声明函（若有）</w:t>
      </w:r>
    </w:p>
    <w:p w14:paraId="3AF607B7">
      <w:pPr>
        <w:pStyle w:val="4"/>
        <w:ind w:firstLine="480"/>
        <w:jc w:val="left"/>
        <w:rPr>
          <w:highlight w:val="none"/>
        </w:rPr>
      </w:pPr>
      <w:r>
        <w:rPr>
          <w:rFonts w:ascii="仿宋_GB2312" w:hAnsi="仿宋_GB2312" w:eastAsia="仿宋_GB2312" w:cs="仿宋_GB2312"/>
          <w:highlight w:val="none"/>
        </w:rPr>
        <w:t>致：</w:t>
      </w:r>
      <w:r>
        <w:rPr>
          <w:rFonts w:ascii="仿宋_GB2312" w:hAnsi="仿宋_GB2312" w:eastAsia="仿宋_GB2312" w:cs="仿宋_GB2312"/>
          <w:highlight w:val="none"/>
          <w:u w:val="single"/>
        </w:rPr>
        <w:t>（采购人或采购代理机构）</w:t>
      </w:r>
    </w:p>
    <w:p w14:paraId="0C90DB3B">
      <w:pPr>
        <w:pStyle w:val="4"/>
        <w:ind w:firstLine="480"/>
        <w:jc w:val="left"/>
        <w:rPr>
          <w:highlight w:val="none"/>
        </w:rPr>
      </w:pPr>
      <w:r>
        <w:rPr>
          <w:rFonts w:ascii="仿宋_GB2312" w:hAnsi="仿宋_GB2312" w:eastAsia="仿宋_GB2312" w:cs="仿宋_GB2312"/>
          <w:highlight w:val="none"/>
        </w:rPr>
        <w:t>我方具备履行合同所必需的设备和专业技术能力，否则产生不利后果由我方承担责任。</w:t>
      </w:r>
    </w:p>
    <w:p w14:paraId="6C8CE759">
      <w:pPr>
        <w:pStyle w:val="4"/>
        <w:ind w:firstLine="960"/>
        <w:jc w:val="left"/>
        <w:rPr>
          <w:highlight w:val="none"/>
        </w:rPr>
      </w:pPr>
      <w:r>
        <w:rPr>
          <w:rFonts w:ascii="仿宋_GB2312" w:hAnsi="仿宋_GB2312" w:eastAsia="仿宋_GB2312" w:cs="仿宋_GB2312"/>
          <w:highlight w:val="none"/>
        </w:rPr>
        <w:t>特此声明。</w:t>
      </w:r>
    </w:p>
    <w:p w14:paraId="5698E4C3">
      <w:pPr>
        <w:pStyle w:val="4"/>
        <w:ind w:firstLine="480"/>
        <w:jc w:val="left"/>
        <w:rPr>
          <w:highlight w:val="none"/>
        </w:rPr>
      </w:pPr>
      <w:r>
        <w:rPr>
          <w:rFonts w:ascii="仿宋_GB2312" w:hAnsi="仿宋_GB2312" w:eastAsia="仿宋_GB2312" w:cs="仿宋_GB2312"/>
          <w:highlight w:val="none"/>
        </w:rPr>
        <w:t>※注意：</w:t>
      </w:r>
    </w:p>
    <w:p w14:paraId="679AF1EC">
      <w:pPr>
        <w:pStyle w:val="4"/>
        <w:ind w:firstLine="480"/>
        <w:jc w:val="left"/>
        <w:rPr>
          <w:highlight w:val="none"/>
        </w:rPr>
      </w:pPr>
      <w:r>
        <w:rPr>
          <w:rFonts w:ascii="仿宋_GB2312" w:hAnsi="仿宋_GB2312" w:eastAsia="仿宋_GB2312" w:cs="仿宋_GB2312"/>
          <w:highlight w:val="none"/>
        </w:rPr>
        <w:t>1、招标文件未要求投标人提供“具备履行合同所必需的设备和专业技术能力专项证明材料”的，投标人应提供本声明函。</w:t>
      </w:r>
    </w:p>
    <w:p w14:paraId="463F7589">
      <w:pPr>
        <w:pStyle w:val="4"/>
        <w:ind w:firstLine="480"/>
        <w:jc w:val="left"/>
        <w:rPr>
          <w:highlight w:val="none"/>
        </w:rPr>
      </w:pPr>
      <w:r>
        <w:rPr>
          <w:rFonts w:ascii="仿宋_GB2312" w:hAnsi="仿宋_GB2312" w:eastAsia="仿宋_GB2312" w:cs="仿宋_GB2312"/>
          <w:highlight w:val="none"/>
        </w:rPr>
        <w:t>2、招标文件要求投标人提供“具备履行合同所必需的设备和专业技术能力专项证明材料”的，投标人可不提供本声明函。</w:t>
      </w:r>
    </w:p>
    <w:p w14:paraId="14B5E5C1">
      <w:pPr>
        <w:pStyle w:val="4"/>
        <w:ind w:firstLine="480"/>
        <w:jc w:val="left"/>
        <w:rPr>
          <w:highlight w:val="none"/>
        </w:rPr>
      </w:pPr>
      <w:r>
        <w:rPr>
          <w:rFonts w:ascii="仿宋_GB2312" w:hAnsi="仿宋_GB2312" w:eastAsia="仿宋_GB2312" w:cs="仿宋_GB2312"/>
          <w:highlight w:val="none"/>
        </w:rPr>
        <w:t>3、请投标人根据实际情况如实声明，否则视为提供虚假材料。</w:t>
      </w:r>
    </w:p>
    <w:p w14:paraId="3F910336">
      <w:pPr>
        <w:pStyle w:val="4"/>
        <w:ind w:firstLine="480"/>
        <w:jc w:val="right"/>
        <w:rPr>
          <w:highlight w:val="none"/>
        </w:rPr>
      </w:pPr>
      <w:r>
        <w:rPr>
          <w:rFonts w:ascii="仿宋_GB2312" w:hAnsi="仿宋_GB2312" w:eastAsia="仿宋_GB2312" w:cs="仿宋_GB2312"/>
          <w:highlight w:val="none"/>
        </w:rPr>
        <w:t>投标人：</w:t>
      </w:r>
      <w:r>
        <w:rPr>
          <w:rFonts w:ascii="仿宋_GB2312" w:hAnsi="仿宋_GB2312" w:eastAsia="仿宋_GB2312" w:cs="仿宋_GB2312"/>
          <w:highlight w:val="none"/>
          <w:u w:val="single"/>
        </w:rPr>
        <w:t>（全称并加盖单位公章）</w:t>
      </w:r>
    </w:p>
    <w:p w14:paraId="0447F957">
      <w:pPr>
        <w:pStyle w:val="4"/>
        <w:ind w:firstLine="480"/>
        <w:jc w:val="right"/>
        <w:rPr>
          <w:highlight w:val="none"/>
        </w:rPr>
      </w:pPr>
      <w:r>
        <w:rPr>
          <w:rFonts w:ascii="仿宋_GB2312" w:hAnsi="仿宋_GB2312" w:eastAsia="仿宋_GB2312" w:cs="仿宋_GB2312"/>
          <w:highlight w:val="none"/>
        </w:rPr>
        <w:t>日期：</w:t>
      </w:r>
      <w:r>
        <w:rPr>
          <w:rFonts w:ascii="仿宋_GB2312" w:hAnsi="仿宋_GB2312" w:eastAsia="仿宋_GB2312" w:cs="仿宋_GB2312"/>
          <w:highlight w:val="none"/>
          <w:u w:val="single"/>
        </w:rPr>
        <w:t>　　年　　月　　日</w:t>
      </w:r>
    </w:p>
    <w:p w14:paraId="507AD1E4">
      <w:pPr>
        <w:pStyle w:val="4"/>
        <w:ind w:firstLine="960"/>
        <w:jc w:val="left"/>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7E7E0F5D">
      <w:pPr>
        <w:pStyle w:val="4"/>
        <w:ind w:firstLine="960"/>
        <w:jc w:val="center"/>
        <w:outlineLvl w:val="3"/>
        <w:rPr>
          <w:highlight w:val="none"/>
        </w:rPr>
      </w:pPr>
      <w:r>
        <w:rPr>
          <w:rFonts w:ascii="仿宋_GB2312" w:hAnsi="仿宋_GB2312" w:eastAsia="仿宋_GB2312" w:cs="仿宋_GB2312"/>
          <w:b/>
          <w:sz w:val="24"/>
          <w:highlight w:val="none"/>
        </w:rPr>
        <w:t>参加采购活动前三年内在经营活动中没有重大违法记录书面声明</w:t>
      </w:r>
    </w:p>
    <w:p w14:paraId="5B76E1D0">
      <w:pPr>
        <w:pStyle w:val="4"/>
        <w:ind w:firstLine="480"/>
        <w:jc w:val="left"/>
        <w:rPr>
          <w:highlight w:val="none"/>
        </w:rPr>
      </w:pPr>
      <w:r>
        <w:rPr>
          <w:rFonts w:ascii="仿宋_GB2312" w:hAnsi="仿宋_GB2312" w:eastAsia="仿宋_GB2312" w:cs="仿宋_GB2312"/>
          <w:highlight w:val="none"/>
        </w:rPr>
        <w:t>致：</w:t>
      </w:r>
      <w:r>
        <w:rPr>
          <w:rFonts w:ascii="仿宋_GB2312" w:hAnsi="仿宋_GB2312" w:eastAsia="仿宋_GB2312" w:cs="仿宋_GB2312"/>
          <w:highlight w:val="none"/>
          <w:u w:val="single"/>
        </w:rPr>
        <w:t>（采购人或采购代理机构）</w:t>
      </w:r>
    </w:p>
    <w:p w14:paraId="47645F2A">
      <w:pPr>
        <w:pStyle w:val="4"/>
        <w:ind w:firstLine="480"/>
        <w:jc w:val="left"/>
        <w:rPr>
          <w:highlight w:val="none"/>
        </w:rPr>
      </w:pPr>
      <w:r>
        <w:rPr>
          <w:rFonts w:ascii="仿宋_GB2312" w:hAnsi="仿宋_GB2312" w:eastAsia="仿宋_GB2312" w:cs="仿宋_GB2312"/>
          <w:highlight w:val="none"/>
        </w:rPr>
        <w:t>参加采购活动前三年内，我方在经营活动中没有重大违法记录，即没有因违法经营受到刑事处罚或责令停产停业、吊销许可证或执照、较大数额罚款等行政处罚。否则产生不利后果由我方承担责任。</w:t>
      </w:r>
    </w:p>
    <w:p w14:paraId="2C2E6C8C">
      <w:pPr>
        <w:pStyle w:val="4"/>
        <w:ind w:firstLine="960"/>
        <w:jc w:val="left"/>
        <w:rPr>
          <w:highlight w:val="none"/>
        </w:rPr>
      </w:pPr>
      <w:r>
        <w:rPr>
          <w:rFonts w:ascii="仿宋_GB2312" w:hAnsi="仿宋_GB2312" w:eastAsia="仿宋_GB2312" w:cs="仿宋_GB2312"/>
          <w:highlight w:val="none"/>
        </w:rPr>
        <w:t>特此声明。</w:t>
      </w:r>
    </w:p>
    <w:p w14:paraId="3421232C">
      <w:pPr>
        <w:pStyle w:val="4"/>
        <w:ind w:firstLine="480"/>
        <w:jc w:val="left"/>
        <w:rPr>
          <w:highlight w:val="none"/>
        </w:rPr>
      </w:pPr>
      <w:r>
        <w:rPr>
          <w:rFonts w:ascii="仿宋_GB2312" w:hAnsi="仿宋_GB2312" w:eastAsia="仿宋_GB2312" w:cs="仿宋_GB2312"/>
          <w:highlight w:val="none"/>
        </w:rPr>
        <w:t>※注意：</w:t>
      </w:r>
    </w:p>
    <w:p w14:paraId="47236AA7">
      <w:pPr>
        <w:pStyle w:val="4"/>
        <w:ind w:firstLine="480"/>
        <w:jc w:val="left"/>
        <w:rPr>
          <w:highlight w:val="none"/>
        </w:rPr>
      </w:pPr>
      <w:r>
        <w:rPr>
          <w:rFonts w:ascii="仿宋_GB2312" w:hAnsi="仿宋_GB2312" w:eastAsia="仿宋_GB2312" w:cs="仿宋_GB2312"/>
          <w:highlight w:val="none"/>
        </w:rPr>
        <w:t>“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18251CDA">
      <w:pPr>
        <w:pStyle w:val="4"/>
        <w:ind w:firstLine="480"/>
        <w:jc w:val="left"/>
        <w:rPr>
          <w:highlight w:val="none"/>
        </w:rPr>
      </w:pPr>
      <w:r>
        <w:rPr>
          <w:rFonts w:ascii="仿宋_GB2312" w:hAnsi="仿宋_GB2312" w:eastAsia="仿宋_GB2312" w:cs="仿宋_GB2312"/>
          <w:highlight w:val="none"/>
        </w:rPr>
        <w:t>请投标人根据实际情况如实声明，否则视为提供虚假材料。</w:t>
      </w:r>
    </w:p>
    <w:p w14:paraId="6366050C">
      <w:pPr>
        <w:pStyle w:val="4"/>
        <w:ind w:firstLine="480"/>
        <w:jc w:val="right"/>
        <w:rPr>
          <w:highlight w:val="none"/>
        </w:rPr>
      </w:pPr>
      <w:r>
        <w:rPr>
          <w:rFonts w:ascii="仿宋_GB2312" w:hAnsi="仿宋_GB2312" w:eastAsia="仿宋_GB2312" w:cs="仿宋_GB2312"/>
          <w:highlight w:val="none"/>
        </w:rPr>
        <w:t>投标人：</w:t>
      </w:r>
      <w:r>
        <w:rPr>
          <w:rFonts w:ascii="仿宋_GB2312" w:hAnsi="仿宋_GB2312" w:eastAsia="仿宋_GB2312" w:cs="仿宋_GB2312"/>
          <w:highlight w:val="none"/>
          <w:u w:val="single"/>
        </w:rPr>
        <w:t>（全称并加盖单位公章）</w:t>
      </w:r>
    </w:p>
    <w:p w14:paraId="11EE0283">
      <w:pPr>
        <w:pStyle w:val="4"/>
        <w:ind w:firstLine="480"/>
        <w:jc w:val="right"/>
        <w:rPr>
          <w:highlight w:val="none"/>
        </w:rPr>
      </w:pPr>
      <w:r>
        <w:rPr>
          <w:rFonts w:ascii="仿宋_GB2312" w:hAnsi="仿宋_GB2312" w:eastAsia="仿宋_GB2312" w:cs="仿宋_GB2312"/>
          <w:highlight w:val="none"/>
        </w:rPr>
        <w:t>日期：</w:t>
      </w:r>
      <w:r>
        <w:rPr>
          <w:rFonts w:ascii="仿宋_GB2312" w:hAnsi="仿宋_GB2312" w:eastAsia="仿宋_GB2312" w:cs="仿宋_GB2312"/>
          <w:highlight w:val="none"/>
          <w:u w:val="single"/>
        </w:rPr>
        <w:t>　　年　　月　　日</w:t>
      </w:r>
    </w:p>
    <w:p w14:paraId="721BB7F0">
      <w:pPr>
        <w:pStyle w:val="4"/>
        <w:ind w:firstLine="960"/>
        <w:jc w:val="left"/>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114FC715">
      <w:pPr>
        <w:pStyle w:val="4"/>
        <w:ind w:firstLine="960"/>
        <w:jc w:val="center"/>
        <w:outlineLvl w:val="3"/>
        <w:rPr>
          <w:highlight w:val="none"/>
        </w:rPr>
      </w:pPr>
      <w:r>
        <w:rPr>
          <w:rFonts w:ascii="仿宋_GB2312" w:hAnsi="仿宋_GB2312" w:eastAsia="仿宋_GB2312" w:cs="仿宋_GB2312"/>
          <w:b/>
          <w:sz w:val="24"/>
          <w:highlight w:val="none"/>
        </w:rPr>
        <w:t>二-3信用记录查询提示</w:t>
      </w:r>
    </w:p>
    <w:p w14:paraId="229A666F">
      <w:pPr>
        <w:pStyle w:val="4"/>
        <w:ind w:firstLine="480"/>
        <w:jc w:val="left"/>
        <w:rPr>
          <w:highlight w:val="none"/>
        </w:rPr>
      </w:pPr>
      <w:r>
        <w:rPr>
          <w:rFonts w:ascii="仿宋_GB2312" w:hAnsi="仿宋_GB2312" w:eastAsia="仿宋_GB2312" w:cs="仿宋_GB2312"/>
          <w:highlight w:val="none"/>
        </w:rPr>
        <w:t>1、由资格审查小组通过网站查询并打印投标人的信用记录。</w:t>
      </w:r>
    </w:p>
    <w:p w14:paraId="3F0873EF">
      <w:pPr>
        <w:pStyle w:val="4"/>
        <w:ind w:firstLine="480"/>
        <w:jc w:val="left"/>
        <w:rPr>
          <w:highlight w:val="none"/>
        </w:rPr>
      </w:pPr>
      <w:r>
        <w:rPr>
          <w:rFonts w:ascii="仿宋_GB2312" w:hAnsi="仿宋_GB2312" w:eastAsia="仿宋_GB2312" w:cs="仿宋_GB2312"/>
          <w:highlight w:val="none"/>
        </w:rPr>
        <w:t>2、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p w14:paraId="58CCF436">
      <w:pPr>
        <w:pStyle w:val="4"/>
        <w:ind w:firstLine="480"/>
        <w:jc w:val="left"/>
        <w:rPr>
          <w:highlight w:val="none"/>
        </w:rPr>
      </w:pPr>
      <w:r>
        <w:rPr>
          <w:rFonts w:ascii="仿宋_GB2312" w:hAnsi="仿宋_GB2312" w:eastAsia="仿宋_GB2312" w:cs="仿宋_GB2312"/>
          <w:highlight w:val="none"/>
        </w:rPr>
        <w:t>3、投标人应了解投标人自身的信用记录情况。当投标人受到200万以上罚款的行政处罚且该罚款不属较大数额罚款时，投标人应在电子投标文件中提供此项罚款不属于较大数额罚款的依据（如提供：相关法律制度的规定、行政执法机构对该罚款不属于较大数额罚款的认定或者其他有效依据）。</w:t>
      </w:r>
    </w:p>
    <w:p w14:paraId="3E6A0FE2">
      <w:pPr>
        <w:pStyle w:val="4"/>
        <w:ind w:firstLine="960"/>
        <w:jc w:val="left"/>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5F6ADC52">
      <w:pPr>
        <w:pStyle w:val="4"/>
        <w:ind w:firstLine="960"/>
        <w:jc w:val="center"/>
        <w:outlineLvl w:val="3"/>
        <w:rPr>
          <w:highlight w:val="none"/>
        </w:rPr>
      </w:pPr>
      <w:r>
        <w:rPr>
          <w:rFonts w:ascii="仿宋_GB2312" w:hAnsi="仿宋_GB2312" w:eastAsia="仿宋_GB2312" w:cs="仿宋_GB2312"/>
          <w:b/>
          <w:sz w:val="24"/>
          <w:highlight w:val="none"/>
        </w:rPr>
        <w:t>二-4中小企业声明函</w:t>
      </w:r>
    </w:p>
    <w:p w14:paraId="1421D611">
      <w:pPr>
        <w:pStyle w:val="4"/>
        <w:ind w:firstLine="960"/>
        <w:jc w:val="center"/>
        <w:outlineLvl w:val="3"/>
        <w:rPr>
          <w:highlight w:val="none"/>
        </w:rPr>
      </w:pPr>
      <w:r>
        <w:rPr>
          <w:rFonts w:ascii="仿宋_GB2312" w:hAnsi="仿宋_GB2312" w:eastAsia="仿宋_GB2312" w:cs="仿宋_GB2312"/>
          <w:b/>
          <w:sz w:val="24"/>
          <w:highlight w:val="none"/>
        </w:rPr>
        <w:t>（以资格条件落实中小企业扶持政策时适用，若有）</w:t>
      </w:r>
    </w:p>
    <w:p w14:paraId="793A74EE">
      <w:pPr>
        <w:pStyle w:val="4"/>
        <w:ind w:firstLine="960"/>
        <w:jc w:val="center"/>
        <w:outlineLvl w:val="3"/>
        <w:rPr>
          <w:highlight w:val="none"/>
        </w:rPr>
      </w:pPr>
      <w:r>
        <w:rPr>
          <w:rFonts w:ascii="仿宋_GB2312" w:hAnsi="仿宋_GB2312" w:eastAsia="仿宋_GB2312" w:cs="仿宋_GB2312"/>
          <w:b/>
          <w:sz w:val="24"/>
          <w:highlight w:val="none"/>
        </w:rPr>
        <w:t>中小企业声明函（货物）</w:t>
      </w:r>
    </w:p>
    <w:p w14:paraId="66D4D798">
      <w:pPr>
        <w:pStyle w:val="4"/>
        <w:ind w:firstLine="480"/>
        <w:jc w:val="left"/>
        <w:rPr>
          <w:highlight w:val="none"/>
        </w:rPr>
      </w:pPr>
      <w:r>
        <w:rPr>
          <w:rFonts w:ascii="仿宋_GB2312" w:hAnsi="仿宋_GB2312" w:eastAsia="仿宋_GB2312" w:cs="仿宋_GB2312"/>
          <w:highlight w:val="none"/>
        </w:rPr>
        <w:t>本公司（联合体）郑重声明，根据《政府采购促进中小企业发展管理办法》（财库﹝2020﹞46 号）的规定，本公司（联合体）参加</w:t>
      </w:r>
      <w:r>
        <w:rPr>
          <w:rFonts w:ascii="仿宋_GB2312" w:hAnsi="仿宋_GB2312" w:eastAsia="仿宋_GB2312" w:cs="仿宋_GB2312"/>
          <w:highlight w:val="none"/>
          <w:u w:val="single"/>
        </w:rPr>
        <w:t>（单位名称）</w:t>
      </w:r>
      <w:r>
        <w:rPr>
          <w:rFonts w:ascii="仿宋_GB2312" w:hAnsi="仿宋_GB2312" w:eastAsia="仿宋_GB2312" w:cs="仿宋_GB2312"/>
          <w:highlight w:val="none"/>
        </w:rPr>
        <w:t>的</w:t>
      </w:r>
      <w:r>
        <w:rPr>
          <w:rFonts w:ascii="仿宋_GB2312" w:hAnsi="仿宋_GB2312" w:eastAsia="仿宋_GB2312" w:cs="仿宋_GB2312"/>
          <w:highlight w:val="none"/>
          <w:u w:val="single"/>
        </w:rPr>
        <w:t>（项目名称）</w:t>
      </w:r>
      <w:r>
        <w:rPr>
          <w:rFonts w:ascii="仿宋_GB2312" w:hAnsi="仿宋_GB2312" w:eastAsia="仿宋_GB2312" w:cs="仿宋_GB2312"/>
          <w:highlight w:val="none"/>
        </w:rPr>
        <w:t>采购活动，提供的货物全部由符合政策要求的中小企业制造。相关企业（含联合体中的中小企业、签订分包意向协议的中小企业）的具体情况如下：</w:t>
      </w:r>
    </w:p>
    <w:p w14:paraId="4CB80D5F">
      <w:pPr>
        <w:pStyle w:val="4"/>
        <w:ind w:firstLine="480"/>
        <w:jc w:val="left"/>
        <w:rPr>
          <w:highlight w:val="none"/>
        </w:rPr>
      </w:pPr>
      <w:r>
        <w:rPr>
          <w:rFonts w:ascii="仿宋_GB2312" w:hAnsi="仿宋_GB2312" w:eastAsia="仿宋_GB2312" w:cs="仿宋_GB2312"/>
          <w:highlight w:val="none"/>
        </w:rPr>
        <w:t>1.</w:t>
      </w:r>
      <w:r>
        <w:rPr>
          <w:rFonts w:ascii="仿宋_GB2312" w:hAnsi="仿宋_GB2312" w:eastAsia="仿宋_GB2312" w:cs="仿宋_GB2312"/>
          <w:highlight w:val="none"/>
          <w:u w:val="single"/>
        </w:rPr>
        <w:t xml:space="preserve"> （标的名称） </w:t>
      </w:r>
      <w:r>
        <w:rPr>
          <w:rFonts w:ascii="仿宋_GB2312" w:hAnsi="仿宋_GB2312" w:eastAsia="仿宋_GB2312" w:cs="仿宋_GB2312"/>
          <w:highlight w:val="none"/>
        </w:rPr>
        <w:t>，属于</w:t>
      </w:r>
      <w:r>
        <w:rPr>
          <w:rFonts w:ascii="仿宋_GB2312" w:hAnsi="仿宋_GB2312" w:eastAsia="仿宋_GB2312" w:cs="仿宋_GB2312"/>
          <w:highlight w:val="none"/>
          <w:u w:val="single"/>
        </w:rPr>
        <w:t>（采购文件中明确的所属行业）</w:t>
      </w:r>
      <w:r>
        <w:rPr>
          <w:rFonts w:ascii="仿宋_GB2312" w:hAnsi="仿宋_GB2312" w:eastAsia="仿宋_GB2312" w:cs="仿宋_GB2312"/>
          <w:highlight w:val="none"/>
        </w:rPr>
        <w:t>行业；制造商为</w:t>
      </w:r>
      <w:r>
        <w:rPr>
          <w:rFonts w:ascii="仿宋_GB2312" w:hAnsi="仿宋_GB2312" w:eastAsia="仿宋_GB2312" w:cs="仿宋_GB2312"/>
          <w:highlight w:val="none"/>
          <w:u w:val="single"/>
        </w:rPr>
        <w:t>（企业名称）</w:t>
      </w:r>
      <w:r>
        <w:rPr>
          <w:rFonts w:ascii="仿宋_GB2312" w:hAnsi="仿宋_GB2312" w:eastAsia="仿宋_GB2312" w:cs="仿宋_GB2312"/>
          <w:highlight w:val="none"/>
        </w:rPr>
        <w:t>，从业人员</w:t>
      </w:r>
      <w:r>
        <w:rPr>
          <w:rFonts w:ascii="仿宋_GB2312" w:hAnsi="仿宋_GB2312" w:eastAsia="仿宋_GB2312" w:cs="仿宋_GB2312"/>
          <w:highlight w:val="none"/>
          <w:u w:val="single"/>
        </w:rPr>
        <w:t>　　　　　</w:t>
      </w:r>
      <w:r>
        <w:rPr>
          <w:rFonts w:ascii="仿宋_GB2312" w:hAnsi="仿宋_GB2312" w:eastAsia="仿宋_GB2312" w:cs="仿宋_GB2312"/>
          <w:highlight w:val="none"/>
        </w:rPr>
        <w:t>人，营业收入为</w:t>
      </w:r>
      <w:r>
        <w:rPr>
          <w:rFonts w:ascii="仿宋_GB2312" w:hAnsi="仿宋_GB2312" w:eastAsia="仿宋_GB2312" w:cs="仿宋_GB2312"/>
          <w:highlight w:val="none"/>
          <w:u w:val="single"/>
        </w:rPr>
        <w:t>　　　　　</w:t>
      </w:r>
      <w:r>
        <w:rPr>
          <w:rFonts w:ascii="仿宋_GB2312" w:hAnsi="仿宋_GB2312" w:eastAsia="仿宋_GB2312" w:cs="仿宋_GB2312"/>
          <w:highlight w:val="none"/>
        </w:rPr>
        <w:t>万元，资产总额为</w:t>
      </w:r>
      <w:r>
        <w:rPr>
          <w:rFonts w:ascii="仿宋_GB2312" w:hAnsi="仿宋_GB2312" w:eastAsia="仿宋_GB2312" w:cs="仿宋_GB2312"/>
          <w:highlight w:val="none"/>
          <w:u w:val="single"/>
        </w:rPr>
        <w:t>　　　　　</w:t>
      </w:r>
      <w:r>
        <w:rPr>
          <w:rFonts w:ascii="仿宋_GB2312" w:hAnsi="仿宋_GB2312" w:eastAsia="仿宋_GB2312" w:cs="仿宋_GB2312"/>
          <w:highlight w:val="none"/>
        </w:rPr>
        <w:t>万元¹，属于</w:t>
      </w:r>
      <w:r>
        <w:rPr>
          <w:rFonts w:ascii="仿宋_GB2312" w:hAnsi="仿宋_GB2312" w:eastAsia="仿宋_GB2312" w:cs="仿宋_GB2312"/>
          <w:highlight w:val="none"/>
          <w:u w:val="single"/>
        </w:rPr>
        <w:t>（中型企业、小型企业、微型企业）</w:t>
      </w:r>
      <w:r>
        <w:rPr>
          <w:rFonts w:ascii="仿宋_GB2312" w:hAnsi="仿宋_GB2312" w:eastAsia="仿宋_GB2312" w:cs="仿宋_GB2312"/>
          <w:highlight w:val="none"/>
        </w:rPr>
        <w:t>；</w:t>
      </w:r>
    </w:p>
    <w:p w14:paraId="6F1677F8">
      <w:pPr>
        <w:pStyle w:val="4"/>
        <w:ind w:firstLine="480"/>
        <w:jc w:val="left"/>
        <w:rPr>
          <w:highlight w:val="none"/>
        </w:rPr>
      </w:pPr>
      <w:r>
        <w:rPr>
          <w:rFonts w:ascii="仿宋_GB2312" w:hAnsi="仿宋_GB2312" w:eastAsia="仿宋_GB2312" w:cs="仿宋_GB2312"/>
          <w:highlight w:val="none"/>
        </w:rPr>
        <w:t>2.</w:t>
      </w:r>
      <w:r>
        <w:rPr>
          <w:rFonts w:ascii="仿宋_GB2312" w:hAnsi="仿宋_GB2312" w:eastAsia="仿宋_GB2312" w:cs="仿宋_GB2312"/>
          <w:highlight w:val="none"/>
          <w:u w:val="single"/>
        </w:rPr>
        <w:t xml:space="preserve"> （标的名称） </w:t>
      </w:r>
      <w:r>
        <w:rPr>
          <w:rFonts w:ascii="仿宋_GB2312" w:hAnsi="仿宋_GB2312" w:eastAsia="仿宋_GB2312" w:cs="仿宋_GB2312"/>
          <w:highlight w:val="none"/>
        </w:rPr>
        <w:t>，属于</w:t>
      </w:r>
      <w:r>
        <w:rPr>
          <w:rFonts w:ascii="仿宋_GB2312" w:hAnsi="仿宋_GB2312" w:eastAsia="仿宋_GB2312" w:cs="仿宋_GB2312"/>
          <w:highlight w:val="none"/>
          <w:u w:val="single"/>
        </w:rPr>
        <w:t>（采购文件中明确的所属行业）</w:t>
      </w:r>
      <w:r>
        <w:rPr>
          <w:rFonts w:ascii="仿宋_GB2312" w:hAnsi="仿宋_GB2312" w:eastAsia="仿宋_GB2312" w:cs="仿宋_GB2312"/>
          <w:highlight w:val="none"/>
        </w:rPr>
        <w:t>行业；制造商为</w:t>
      </w:r>
      <w:r>
        <w:rPr>
          <w:rFonts w:ascii="仿宋_GB2312" w:hAnsi="仿宋_GB2312" w:eastAsia="仿宋_GB2312" w:cs="仿宋_GB2312"/>
          <w:highlight w:val="none"/>
          <w:u w:val="single"/>
        </w:rPr>
        <w:t>（企业名称）</w:t>
      </w:r>
      <w:r>
        <w:rPr>
          <w:rFonts w:ascii="仿宋_GB2312" w:hAnsi="仿宋_GB2312" w:eastAsia="仿宋_GB2312" w:cs="仿宋_GB2312"/>
          <w:highlight w:val="none"/>
        </w:rPr>
        <w:t>，从业人员</w:t>
      </w:r>
      <w:r>
        <w:rPr>
          <w:rFonts w:ascii="仿宋_GB2312" w:hAnsi="仿宋_GB2312" w:eastAsia="仿宋_GB2312" w:cs="仿宋_GB2312"/>
          <w:highlight w:val="none"/>
          <w:u w:val="single"/>
        </w:rPr>
        <w:t>　　　　　</w:t>
      </w:r>
      <w:r>
        <w:rPr>
          <w:rFonts w:ascii="仿宋_GB2312" w:hAnsi="仿宋_GB2312" w:eastAsia="仿宋_GB2312" w:cs="仿宋_GB2312"/>
          <w:highlight w:val="none"/>
        </w:rPr>
        <w:t>人，营业收入为</w:t>
      </w:r>
      <w:r>
        <w:rPr>
          <w:rFonts w:ascii="仿宋_GB2312" w:hAnsi="仿宋_GB2312" w:eastAsia="仿宋_GB2312" w:cs="仿宋_GB2312"/>
          <w:highlight w:val="none"/>
          <w:u w:val="single"/>
        </w:rPr>
        <w:t>　　　　　</w:t>
      </w:r>
      <w:r>
        <w:rPr>
          <w:rFonts w:ascii="仿宋_GB2312" w:hAnsi="仿宋_GB2312" w:eastAsia="仿宋_GB2312" w:cs="仿宋_GB2312"/>
          <w:highlight w:val="none"/>
        </w:rPr>
        <w:t>万元，资产总额为</w:t>
      </w:r>
      <w:r>
        <w:rPr>
          <w:rFonts w:ascii="仿宋_GB2312" w:hAnsi="仿宋_GB2312" w:eastAsia="仿宋_GB2312" w:cs="仿宋_GB2312"/>
          <w:highlight w:val="none"/>
          <w:u w:val="single"/>
        </w:rPr>
        <w:t>　　　　　</w:t>
      </w:r>
      <w:r>
        <w:rPr>
          <w:rFonts w:ascii="仿宋_GB2312" w:hAnsi="仿宋_GB2312" w:eastAsia="仿宋_GB2312" w:cs="仿宋_GB2312"/>
          <w:highlight w:val="none"/>
        </w:rPr>
        <w:t>万元，属于</w:t>
      </w:r>
      <w:r>
        <w:rPr>
          <w:rFonts w:ascii="仿宋_GB2312" w:hAnsi="仿宋_GB2312" w:eastAsia="仿宋_GB2312" w:cs="仿宋_GB2312"/>
          <w:highlight w:val="none"/>
          <w:u w:val="single"/>
        </w:rPr>
        <w:t>（中型企业、小型企业、微型企业）</w:t>
      </w:r>
      <w:r>
        <w:rPr>
          <w:rFonts w:ascii="仿宋_GB2312" w:hAnsi="仿宋_GB2312" w:eastAsia="仿宋_GB2312" w:cs="仿宋_GB2312"/>
          <w:highlight w:val="none"/>
        </w:rPr>
        <w:t>；</w:t>
      </w:r>
    </w:p>
    <w:p w14:paraId="5C516F4D">
      <w:pPr>
        <w:pStyle w:val="4"/>
        <w:ind w:firstLine="480"/>
        <w:jc w:val="left"/>
        <w:rPr>
          <w:highlight w:val="none"/>
        </w:rPr>
      </w:pPr>
      <w:r>
        <w:rPr>
          <w:rFonts w:ascii="仿宋_GB2312" w:hAnsi="仿宋_GB2312" w:eastAsia="仿宋_GB2312" w:cs="仿宋_GB2312"/>
          <w:highlight w:val="none"/>
        </w:rPr>
        <w:t>……</w:t>
      </w:r>
    </w:p>
    <w:p w14:paraId="7F4DBA3A">
      <w:pPr>
        <w:pStyle w:val="4"/>
        <w:ind w:firstLine="480"/>
        <w:jc w:val="left"/>
        <w:rPr>
          <w:highlight w:val="none"/>
        </w:rPr>
      </w:pPr>
      <w:r>
        <w:rPr>
          <w:rFonts w:ascii="仿宋_GB2312" w:hAnsi="仿宋_GB2312" w:eastAsia="仿宋_GB2312" w:cs="仿宋_GB2312"/>
          <w:highlight w:val="none"/>
        </w:rPr>
        <w:t>以上企业，不属于大企业的分支机构，不存在控股股东为大企业的情形，也不存在与大企业的负责人为同一人的情形。</w:t>
      </w:r>
    </w:p>
    <w:p w14:paraId="3EB958BE">
      <w:pPr>
        <w:pStyle w:val="4"/>
        <w:ind w:firstLine="480"/>
        <w:jc w:val="left"/>
        <w:rPr>
          <w:highlight w:val="none"/>
        </w:rPr>
      </w:pPr>
      <w:r>
        <w:rPr>
          <w:rFonts w:ascii="仿宋_GB2312" w:hAnsi="仿宋_GB2312" w:eastAsia="仿宋_GB2312" w:cs="仿宋_GB2312"/>
          <w:highlight w:val="none"/>
        </w:rPr>
        <w:t>本企业对上述声明内容的真实性负责。如有虚假，将依法承担相应责任。</w:t>
      </w:r>
    </w:p>
    <w:p w14:paraId="7F210A97">
      <w:pPr>
        <w:pStyle w:val="4"/>
        <w:ind w:firstLine="480"/>
        <w:jc w:val="right"/>
        <w:rPr>
          <w:highlight w:val="none"/>
        </w:rPr>
      </w:pPr>
      <w:r>
        <w:rPr>
          <w:rFonts w:ascii="仿宋_GB2312" w:hAnsi="仿宋_GB2312" w:eastAsia="仿宋_GB2312" w:cs="仿宋_GB2312"/>
          <w:highlight w:val="none"/>
        </w:rPr>
        <w:t>投标人：</w:t>
      </w:r>
      <w:r>
        <w:rPr>
          <w:rFonts w:ascii="仿宋_GB2312" w:hAnsi="仿宋_GB2312" w:eastAsia="仿宋_GB2312" w:cs="仿宋_GB2312"/>
          <w:highlight w:val="none"/>
          <w:u w:val="single"/>
        </w:rPr>
        <w:t>（全称并加盖单位公章）</w:t>
      </w:r>
    </w:p>
    <w:p w14:paraId="5E84FF20">
      <w:pPr>
        <w:pStyle w:val="4"/>
        <w:ind w:firstLine="480"/>
        <w:jc w:val="right"/>
        <w:rPr>
          <w:highlight w:val="none"/>
        </w:rPr>
      </w:pPr>
      <w:r>
        <w:rPr>
          <w:rFonts w:ascii="仿宋_GB2312" w:hAnsi="仿宋_GB2312" w:eastAsia="仿宋_GB2312" w:cs="仿宋_GB2312"/>
          <w:highlight w:val="none"/>
        </w:rPr>
        <w:t>日期：</w:t>
      </w:r>
      <w:r>
        <w:rPr>
          <w:rFonts w:ascii="仿宋_GB2312" w:hAnsi="仿宋_GB2312" w:eastAsia="仿宋_GB2312" w:cs="仿宋_GB2312"/>
          <w:highlight w:val="none"/>
          <w:u w:val="single"/>
        </w:rPr>
        <w:t>　　年　　月　　日</w:t>
      </w:r>
    </w:p>
    <w:p w14:paraId="11BE6526">
      <w:pPr>
        <w:pStyle w:val="4"/>
        <w:ind w:firstLine="480"/>
        <w:jc w:val="left"/>
        <w:rPr>
          <w:highlight w:val="none"/>
        </w:rPr>
      </w:pPr>
      <w:r>
        <w:rPr>
          <w:rFonts w:ascii="仿宋_GB2312" w:hAnsi="仿宋_GB2312" w:eastAsia="仿宋_GB2312" w:cs="仿宋_GB2312"/>
          <w:highlight w:val="none"/>
        </w:rPr>
        <w:t>※注意：</w:t>
      </w:r>
    </w:p>
    <w:p w14:paraId="088A7689">
      <w:pPr>
        <w:pStyle w:val="4"/>
        <w:ind w:firstLine="480"/>
        <w:jc w:val="left"/>
        <w:rPr>
          <w:highlight w:val="none"/>
        </w:rPr>
      </w:pPr>
      <w:r>
        <w:rPr>
          <w:rFonts w:ascii="仿宋_GB2312" w:hAnsi="仿宋_GB2312" w:eastAsia="仿宋_GB2312" w:cs="仿宋_GB2312"/>
          <w:highlight w:val="none"/>
        </w:rPr>
        <w:t>1、从业人员、营业收入、资产总额填报上一年度数据，无上一年度数据的新成立企业可不填报。</w:t>
      </w:r>
    </w:p>
    <w:p w14:paraId="23A2E0AB">
      <w:pPr>
        <w:pStyle w:val="4"/>
        <w:ind w:firstLine="480"/>
        <w:jc w:val="left"/>
        <w:rPr>
          <w:highlight w:val="none"/>
        </w:rPr>
      </w:pPr>
      <w:r>
        <w:rPr>
          <w:rFonts w:ascii="仿宋_GB2312" w:hAnsi="仿宋_GB2312" w:eastAsia="仿宋_GB2312" w:cs="仿宋_GB2312"/>
          <w:highlight w:val="none"/>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0B6A66CC">
      <w:pPr>
        <w:pStyle w:val="4"/>
        <w:ind w:firstLine="480"/>
        <w:jc w:val="left"/>
        <w:rPr>
          <w:highlight w:val="none"/>
        </w:rPr>
      </w:pPr>
      <w:r>
        <w:rPr>
          <w:rFonts w:ascii="仿宋_GB2312" w:hAnsi="仿宋_GB2312" w:eastAsia="仿宋_GB2312" w:cs="仿宋_GB2312"/>
          <w:highlight w:val="none"/>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2C0ECE8F">
      <w:pPr>
        <w:pStyle w:val="4"/>
        <w:ind w:firstLine="960"/>
        <w:jc w:val="left"/>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1925D40E">
      <w:pPr>
        <w:pStyle w:val="4"/>
        <w:ind w:firstLine="960"/>
        <w:jc w:val="center"/>
        <w:outlineLvl w:val="3"/>
        <w:rPr>
          <w:highlight w:val="none"/>
        </w:rPr>
      </w:pPr>
      <w:r>
        <w:rPr>
          <w:rFonts w:ascii="仿宋_GB2312" w:hAnsi="仿宋_GB2312" w:eastAsia="仿宋_GB2312" w:cs="仿宋_GB2312"/>
          <w:b/>
          <w:sz w:val="24"/>
          <w:highlight w:val="none"/>
        </w:rPr>
        <w:t>中小企业声明函（工程、服务）</w:t>
      </w:r>
    </w:p>
    <w:p w14:paraId="069E99F6">
      <w:pPr>
        <w:pStyle w:val="4"/>
        <w:ind w:firstLine="480"/>
        <w:jc w:val="left"/>
        <w:rPr>
          <w:highlight w:val="none"/>
        </w:rPr>
      </w:pPr>
      <w:r>
        <w:rPr>
          <w:rFonts w:ascii="仿宋_GB2312" w:hAnsi="仿宋_GB2312" w:eastAsia="仿宋_GB2312" w:cs="仿宋_GB2312"/>
          <w:highlight w:val="none"/>
        </w:rPr>
        <w:t>本公司（联合体）郑重声明，根据《政府采购促进中小企业发展管理办法》（财库﹝2020﹞46 号）的规定，本公司（联合体）参加</w:t>
      </w:r>
      <w:r>
        <w:rPr>
          <w:rFonts w:ascii="仿宋_GB2312" w:hAnsi="仿宋_GB2312" w:eastAsia="仿宋_GB2312" w:cs="仿宋_GB2312"/>
          <w:highlight w:val="none"/>
          <w:u w:val="single"/>
        </w:rPr>
        <w:t>（单位名称）</w:t>
      </w:r>
      <w:r>
        <w:rPr>
          <w:rFonts w:ascii="仿宋_GB2312" w:hAnsi="仿宋_GB2312" w:eastAsia="仿宋_GB2312" w:cs="仿宋_GB2312"/>
          <w:highlight w:val="none"/>
        </w:rPr>
        <w:t>的</w:t>
      </w:r>
      <w:r>
        <w:rPr>
          <w:rFonts w:ascii="仿宋_GB2312" w:hAnsi="仿宋_GB2312" w:eastAsia="仿宋_GB2312" w:cs="仿宋_GB2312"/>
          <w:highlight w:val="none"/>
          <w:u w:val="single"/>
        </w:rPr>
        <w:t>（项目名称）</w:t>
      </w:r>
      <w:r>
        <w:rPr>
          <w:rFonts w:ascii="仿宋_GB2312" w:hAnsi="仿宋_GB2312" w:eastAsia="仿宋_GB2312" w:cs="仿宋_GB2312"/>
          <w:highlight w:val="none"/>
        </w:rPr>
        <w:t>采购活动，工程的施工单位全部为符合政策要求的中小企业（或者：服务全部由符合政策要求的中小企业承接）。相关企业（含联合体中的中小企业、签订分包意向协议的中小企业）的具体情况如下：</w:t>
      </w:r>
    </w:p>
    <w:p w14:paraId="48502099">
      <w:pPr>
        <w:pStyle w:val="4"/>
        <w:ind w:firstLine="480"/>
        <w:jc w:val="left"/>
        <w:rPr>
          <w:highlight w:val="none"/>
        </w:rPr>
      </w:pPr>
      <w:r>
        <w:rPr>
          <w:rFonts w:ascii="仿宋_GB2312" w:hAnsi="仿宋_GB2312" w:eastAsia="仿宋_GB2312" w:cs="仿宋_GB2312"/>
          <w:highlight w:val="none"/>
        </w:rPr>
        <w:t>1.</w:t>
      </w:r>
      <w:r>
        <w:rPr>
          <w:rFonts w:ascii="仿宋_GB2312" w:hAnsi="仿宋_GB2312" w:eastAsia="仿宋_GB2312" w:cs="仿宋_GB2312"/>
          <w:highlight w:val="none"/>
          <w:u w:val="single"/>
        </w:rPr>
        <w:t>（标的名称）</w:t>
      </w:r>
      <w:r>
        <w:rPr>
          <w:rFonts w:ascii="仿宋_GB2312" w:hAnsi="仿宋_GB2312" w:eastAsia="仿宋_GB2312" w:cs="仿宋_GB2312"/>
          <w:highlight w:val="none"/>
        </w:rPr>
        <w:t>，属于</w:t>
      </w:r>
      <w:r>
        <w:rPr>
          <w:rFonts w:ascii="仿宋_GB2312" w:hAnsi="仿宋_GB2312" w:eastAsia="仿宋_GB2312" w:cs="仿宋_GB2312"/>
          <w:highlight w:val="none"/>
          <w:u w:val="single"/>
        </w:rPr>
        <w:t>（采购文件中明确的所属行业）</w:t>
      </w:r>
      <w:r>
        <w:rPr>
          <w:rFonts w:ascii="仿宋_GB2312" w:hAnsi="仿宋_GB2312" w:eastAsia="仿宋_GB2312" w:cs="仿宋_GB2312"/>
          <w:highlight w:val="none"/>
        </w:rPr>
        <w:t>；承建（承接）企业为</w:t>
      </w:r>
      <w:r>
        <w:rPr>
          <w:rFonts w:ascii="仿宋_GB2312" w:hAnsi="仿宋_GB2312" w:eastAsia="仿宋_GB2312" w:cs="仿宋_GB2312"/>
          <w:highlight w:val="none"/>
          <w:u w:val="single"/>
        </w:rPr>
        <w:t>（企业名称）</w:t>
      </w:r>
      <w:r>
        <w:rPr>
          <w:rFonts w:ascii="仿宋_GB2312" w:hAnsi="仿宋_GB2312" w:eastAsia="仿宋_GB2312" w:cs="仿宋_GB2312"/>
          <w:highlight w:val="none"/>
        </w:rPr>
        <w:t>，从业人员</w:t>
      </w:r>
      <w:r>
        <w:rPr>
          <w:rFonts w:ascii="仿宋_GB2312" w:hAnsi="仿宋_GB2312" w:eastAsia="仿宋_GB2312" w:cs="仿宋_GB2312"/>
          <w:highlight w:val="none"/>
          <w:u w:val="single"/>
        </w:rPr>
        <w:t>　　　</w:t>
      </w:r>
      <w:r>
        <w:rPr>
          <w:rFonts w:ascii="仿宋_GB2312" w:hAnsi="仿宋_GB2312" w:eastAsia="仿宋_GB2312" w:cs="仿宋_GB2312"/>
          <w:highlight w:val="none"/>
        </w:rPr>
        <w:t>人，营业收入为</w:t>
      </w:r>
      <w:r>
        <w:rPr>
          <w:rFonts w:ascii="仿宋_GB2312" w:hAnsi="仿宋_GB2312" w:eastAsia="仿宋_GB2312" w:cs="仿宋_GB2312"/>
          <w:highlight w:val="none"/>
          <w:u w:val="single"/>
        </w:rPr>
        <w:t>　　　</w:t>
      </w:r>
      <w:r>
        <w:rPr>
          <w:rFonts w:ascii="仿宋_GB2312" w:hAnsi="仿宋_GB2312" w:eastAsia="仿宋_GB2312" w:cs="仿宋_GB2312"/>
          <w:highlight w:val="none"/>
        </w:rPr>
        <w:t>万元，资产总额为</w:t>
      </w:r>
      <w:r>
        <w:rPr>
          <w:rFonts w:ascii="仿宋_GB2312" w:hAnsi="仿宋_GB2312" w:eastAsia="仿宋_GB2312" w:cs="仿宋_GB2312"/>
          <w:highlight w:val="none"/>
          <w:u w:val="single"/>
        </w:rPr>
        <w:t>　　　</w:t>
      </w:r>
      <w:r>
        <w:rPr>
          <w:rFonts w:ascii="仿宋_GB2312" w:hAnsi="仿宋_GB2312" w:eastAsia="仿宋_GB2312" w:cs="仿宋_GB2312"/>
          <w:highlight w:val="none"/>
        </w:rPr>
        <w:t>万元¹，属于</w:t>
      </w:r>
      <w:r>
        <w:rPr>
          <w:rFonts w:ascii="仿宋_GB2312" w:hAnsi="仿宋_GB2312" w:eastAsia="仿宋_GB2312" w:cs="仿宋_GB2312"/>
          <w:highlight w:val="none"/>
          <w:u w:val="single"/>
        </w:rPr>
        <w:t>（中型企业、小型企业、微型企业）</w:t>
      </w:r>
      <w:r>
        <w:rPr>
          <w:rFonts w:ascii="仿宋_GB2312" w:hAnsi="仿宋_GB2312" w:eastAsia="仿宋_GB2312" w:cs="仿宋_GB2312"/>
          <w:highlight w:val="none"/>
        </w:rPr>
        <w:t>；</w:t>
      </w:r>
    </w:p>
    <w:p w14:paraId="022B698C">
      <w:pPr>
        <w:pStyle w:val="4"/>
        <w:ind w:firstLine="480"/>
        <w:jc w:val="left"/>
        <w:rPr>
          <w:highlight w:val="none"/>
        </w:rPr>
      </w:pPr>
      <w:r>
        <w:rPr>
          <w:rFonts w:ascii="仿宋_GB2312" w:hAnsi="仿宋_GB2312" w:eastAsia="仿宋_GB2312" w:cs="仿宋_GB2312"/>
          <w:highlight w:val="none"/>
        </w:rPr>
        <w:t>2.</w:t>
      </w:r>
      <w:r>
        <w:rPr>
          <w:rFonts w:ascii="仿宋_GB2312" w:hAnsi="仿宋_GB2312" w:eastAsia="仿宋_GB2312" w:cs="仿宋_GB2312"/>
          <w:highlight w:val="none"/>
          <w:u w:val="single"/>
        </w:rPr>
        <w:t>（标的名称）</w:t>
      </w:r>
      <w:r>
        <w:rPr>
          <w:rFonts w:ascii="仿宋_GB2312" w:hAnsi="仿宋_GB2312" w:eastAsia="仿宋_GB2312" w:cs="仿宋_GB2312"/>
          <w:highlight w:val="none"/>
        </w:rPr>
        <w:t>，属于</w:t>
      </w:r>
      <w:r>
        <w:rPr>
          <w:rFonts w:ascii="仿宋_GB2312" w:hAnsi="仿宋_GB2312" w:eastAsia="仿宋_GB2312" w:cs="仿宋_GB2312"/>
          <w:highlight w:val="none"/>
          <w:u w:val="single"/>
        </w:rPr>
        <w:t>（采购文件中明确的所属行业）</w:t>
      </w:r>
      <w:r>
        <w:rPr>
          <w:rFonts w:ascii="仿宋_GB2312" w:hAnsi="仿宋_GB2312" w:eastAsia="仿宋_GB2312" w:cs="仿宋_GB2312"/>
          <w:highlight w:val="none"/>
        </w:rPr>
        <w:t>；承建（承接）企业为</w:t>
      </w:r>
      <w:r>
        <w:rPr>
          <w:rFonts w:ascii="仿宋_GB2312" w:hAnsi="仿宋_GB2312" w:eastAsia="仿宋_GB2312" w:cs="仿宋_GB2312"/>
          <w:highlight w:val="none"/>
          <w:u w:val="single"/>
        </w:rPr>
        <w:t>（企业名称）</w:t>
      </w:r>
      <w:r>
        <w:rPr>
          <w:rFonts w:ascii="仿宋_GB2312" w:hAnsi="仿宋_GB2312" w:eastAsia="仿宋_GB2312" w:cs="仿宋_GB2312"/>
          <w:highlight w:val="none"/>
        </w:rPr>
        <w:t>，从业人员</w:t>
      </w:r>
      <w:r>
        <w:rPr>
          <w:rFonts w:ascii="仿宋_GB2312" w:hAnsi="仿宋_GB2312" w:eastAsia="仿宋_GB2312" w:cs="仿宋_GB2312"/>
          <w:highlight w:val="none"/>
          <w:u w:val="single"/>
        </w:rPr>
        <w:t>　　　</w:t>
      </w:r>
      <w:r>
        <w:rPr>
          <w:rFonts w:ascii="仿宋_GB2312" w:hAnsi="仿宋_GB2312" w:eastAsia="仿宋_GB2312" w:cs="仿宋_GB2312"/>
          <w:highlight w:val="none"/>
        </w:rPr>
        <w:t>人，营业收入为</w:t>
      </w:r>
      <w:r>
        <w:rPr>
          <w:rFonts w:ascii="仿宋_GB2312" w:hAnsi="仿宋_GB2312" w:eastAsia="仿宋_GB2312" w:cs="仿宋_GB2312"/>
          <w:highlight w:val="none"/>
          <w:u w:val="single"/>
        </w:rPr>
        <w:t>　　　　　</w:t>
      </w:r>
      <w:r>
        <w:rPr>
          <w:rFonts w:ascii="仿宋_GB2312" w:hAnsi="仿宋_GB2312" w:eastAsia="仿宋_GB2312" w:cs="仿宋_GB2312"/>
          <w:highlight w:val="none"/>
        </w:rPr>
        <w:t>万元，资产总额为</w:t>
      </w:r>
      <w:r>
        <w:rPr>
          <w:rFonts w:ascii="仿宋_GB2312" w:hAnsi="仿宋_GB2312" w:eastAsia="仿宋_GB2312" w:cs="仿宋_GB2312"/>
          <w:highlight w:val="none"/>
          <w:u w:val="single"/>
        </w:rPr>
        <w:t>　　　</w:t>
      </w:r>
      <w:r>
        <w:rPr>
          <w:rFonts w:ascii="仿宋_GB2312" w:hAnsi="仿宋_GB2312" w:eastAsia="仿宋_GB2312" w:cs="仿宋_GB2312"/>
          <w:highlight w:val="none"/>
        </w:rPr>
        <w:t>万元，属于</w:t>
      </w:r>
      <w:r>
        <w:rPr>
          <w:rFonts w:ascii="仿宋_GB2312" w:hAnsi="仿宋_GB2312" w:eastAsia="仿宋_GB2312" w:cs="仿宋_GB2312"/>
          <w:highlight w:val="none"/>
          <w:u w:val="single"/>
        </w:rPr>
        <w:t>（中型企业、小型企业、微型企业）</w:t>
      </w:r>
      <w:r>
        <w:rPr>
          <w:rFonts w:ascii="仿宋_GB2312" w:hAnsi="仿宋_GB2312" w:eastAsia="仿宋_GB2312" w:cs="仿宋_GB2312"/>
          <w:highlight w:val="none"/>
        </w:rPr>
        <w:t>；</w:t>
      </w:r>
    </w:p>
    <w:p w14:paraId="7D5E492D">
      <w:pPr>
        <w:pStyle w:val="4"/>
        <w:ind w:firstLine="480"/>
        <w:jc w:val="left"/>
        <w:rPr>
          <w:highlight w:val="none"/>
        </w:rPr>
      </w:pPr>
      <w:r>
        <w:rPr>
          <w:rFonts w:ascii="仿宋_GB2312" w:hAnsi="仿宋_GB2312" w:eastAsia="仿宋_GB2312" w:cs="仿宋_GB2312"/>
          <w:highlight w:val="none"/>
        </w:rPr>
        <w:t>……</w:t>
      </w:r>
    </w:p>
    <w:p w14:paraId="082E02C5">
      <w:pPr>
        <w:pStyle w:val="4"/>
        <w:ind w:firstLine="480"/>
        <w:jc w:val="left"/>
        <w:rPr>
          <w:highlight w:val="none"/>
        </w:rPr>
      </w:pPr>
      <w:r>
        <w:rPr>
          <w:rFonts w:ascii="仿宋_GB2312" w:hAnsi="仿宋_GB2312" w:eastAsia="仿宋_GB2312" w:cs="仿宋_GB2312"/>
          <w:highlight w:val="none"/>
        </w:rPr>
        <w:t>以上企业，不属于大企业的分支机构，不存在控股股东为大企业的情形，也不存在与大企业的负责人为同一人的情形。</w:t>
      </w:r>
    </w:p>
    <w:p w14:paraId="4C911C51">
      <w:pPr>
        <w:pStyle w:val="4"/>
        <w:ind w:firstLine="480"/>
        <w:jc w:val="left"/>
        <w:rPr>
          <w:highlight w:val="none"/>
        </w:rPr>
      </w:pPr>
      <w:r>
        <w:rPr>
          <w:rFonts w:ascii="仿宋_GB2312" w:hAnsi="仿宋_GB2312" w:eastAsia="仿宋_GB2312" w:cs="仿宋_GB2312"/>
          <w:highlight w:val="none"/>
        </w:rPr>
        <w:t>本企业对上述声明内容的真实性负责。如有虚假，将依法承担相应责任。</w:t>
      </w:r>
    </w:p>
    <w:p w14:paraId="3424DE0C">
      <w:pPr>
        <w:pStyle w:val="4"/>
        <w:ind w:firstLine="480"/>
        <w:jc w:val="right"/>
        <w:rPr>
          <w:highlight w:val="none"/>
        </w:rPr>
      </w:pPr>
      <w:r>
        <w:rPr>
          <w:rFonts w:ascii="仿宋_GB2312" w:hAnsi="仿宋_GB2312" w:eastAsia="仿宋_GB2312" w:cs="仿宋_GB2312"/>
          <w:highlight w:val="none"/>
        </w:rPr>
        <w:t>投标人：</w:t>
      </w:r>
      <w:r>
        <w:rPr>
          <w:rFonts w:ascii="仿宋_GB2312" w:hAnsi="仿宋_GB2312" w:eastAsia="仿宋_GB2312" w:cs="仿宋_GB2312"/>
          <w:highlight w:val="none"/>
          <w:u w:val="single"/>
        </w:rPr>
        <w:t>（全称并加盖单位公章）</w:t>
      </w:r>
    </w:p>
    <w:p w14:paraId="2709683D">
      <w:pPr>
        <w:pStyle w:val="4"/>
        <w:ind w:firstLine="480"/>
        <w:jc w:val="right"/>
        <w:rPr>
          <w:highlight w:val="none"/>
        </w:rPr>
      </w:pPr>
      <w:r>
        <w:rPr>
          <w:rFonts w:ascii="仿宋_GB2312" w:hAnsi="仿宋_GB2312" w:eastAsia="仿宋_GB2312" w:cs="仿宋_GB2312"/>
          <w:highlight w:val="none"/>
        </w:rPr>
        <w:t>日期：</w:t>
      </w:r>
      <w:r>
        <w:rPr>
          <w:rFonts w:ascii="仿宋_GB2312" w:hAnsi="仿宋_GB2312" w:eastAsia="仿宋_GB2312" w:cs="仿宋_GB2312"/>
          <w:highlight w:val="none"/>
          <w:u w:val="single"/>
        </w:rPr>
        <w:t>　　年　　月　　日</w:t>
      </w:r>
    </w:p>
    <w:p w14:paraId="544A6D66">
      <w:pPr>
        <w:pStyle w:val="4"/>
        <w:ind w:firstLine="480"/>
        <w:jc w:val="left"/>
        <w:rPr>
          <w:highlight w:val="none"/>
        </w:rPr>
      </w:pPr>
      <w:r>
        <w:rPr>
          <w:rFonts w:ascii="仿宋_GB2312" w:hAnsi="仿宋_GB2312" w:eastAsia="仿宋_GB2312" w:cs="仿宋_GB2312"/>
          <w:highlight w:val="none"/>
        </w:rPr>
        <w:t>※注意：</w:t>
      </w:r>
    </w:p>
    <w:p w14:paraId="6B70A0AE">
      <w:pPr>
        <w:pStyle w:val="4"/>
        <w:ind w:firstLine="480"/>
        <w:jc w:val="left"/>
        <w:rPr>
          <w:highlight w:val="none"/>
        </w:rPr>
      </w:pPr>
      <w:r>
        <w:rPr>
          <w:rFonts w:ascii="仿宋_GB2312" w:hAnsi="仿宋_GB2312" w:eastAsia="仿宋_GB2312" w:cs="仿宋_GB2312"/>
          <w:highlight w:val="none"/>
        </w:rPr>
        <w:t>1、从业人员、营业收入、资产总额填报上一年度数据，无上一年度数据的新成立企业可不填报。</w:t>
      </w:r>
    </w:p>
    <w:p w14:paraId="36CC1DC7">
      <w:pPr>
        <w:pStyle w:val="4"/>
        <w:ind w:firstLine="480"/>
        <w:jc w:val="left"/>
        <w:rPr>
          <w:highlight w:val="none"/>
        </w:rPr>
      </w:pPr>
      <w:r>
        <w:rPr>
          <w:rFonts w:ascii="仿宋_GB2312" w:hAnsi="仿宋_GB2312" w:eastAsia="仿宋_GB2312" w:cs="仿宋_GB2312"/>
          <w:highlight w:val="none"/>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6E7F1CF6">
      <w:pPr>
        <w:pStyle w:val="4"/>
        <w:ind w:firstLine="480"/>
        <w:jc w:val="left"/>
        <w:rPr>
          <w:highlight w:val="none"/>
        </w:rPr>
      </w:pPr>
      <w:r>
        <w:rPr>
          <w:rFonts w:ascii="仿宋_GB2312" w:hAnsi="仿宋_GB2312" w:eastAsia="仿宋_GB2312" w:cs="仿宋_GB2312"/>
          <w:highlight w:val="none"/>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047D4B21">
      <w:pPr>
        <w:pStyle w:val="4"/>
        <w:ind w:firstLine="960"/>
        <w:jc w:val="left"/>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40E68BCF">
      <w:pPr>
        <w:pStyle w:val="4"/>
        <w:ind w:firstLine="960"/>
        <w:jc w:val="center"/>
        <w:outlineLvl w:val="3"/>
        <w:rPr>
          <w:highlight w:val="none"/>
        </w:rPr>
      </w:pPr>
      <w:r>
        <w:rPr>
          <w:rFonts w:ascii="仿宋_GB2312" w:hAnsi="仿宋_GB2312" w:eastAsia="仿宋_GB2312" w:cs="仿宋_GB2312"/>
          <w:b/>
          <w:sz w:val="24"/>
          <w:highlight w:val="none"/>
        </w:rPr>
        <w:t>残疾人福利性单位声明函</w:t>
      </w:r>
    </w:p>
    <w:p w14:paraId="4539269F">
      <w:pPr>
        <w:pStyle w:val="4"/>
        <w:ind w:firstLine="960"/>
        <w:jc w:val="center"/>
        <w:outlineLvl w:val="3"/>
        <w:rPr>
          <w:highlight w:val="none"/>
        </w:rPr>
      </w:pPr>
      <w:r>
        <w:rPr>
          <w:rFonts w:ascii="仿宋_GB2312" w:hAnsi="仿宋_GB2312" w:eastAsia="仿宋_GB2312" w:cs="仿宋_GB2312"/>
          <w:b/>
          <w:sz w:val="24"/>
          <w:highlight w:val="none"/>
        </w:rPr>
        <w:t>（以资格条件落实中小企业扶持政策时适用，若有）</w:t>
      </w:r>
    </w:p>
    <w:p w14:paraId="4B8A3BEF">
      <w:pPr>
        <w:pStyle w:val="4"/>
        <w:ind w:firstLine="480"/>
        <w:jc w:val="left"/>
        <w:rPr>
          <w:highlight w:val="none"/>
        </w:rPr>
      </w:pPr>
      <w:r>
        <w:rPr>
          <w:rFonts w:ascii="仿宋_GB2312" w:hAnsi="仿宋_GB2312" w:eastAsia="仿宋_GB2312" w:cs="仿宋_GB2312"/>
          <w:highlight w:val="none"/>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14:paraId="02A95315">
      <w:pPr>
        <w:pStyle w:val="4"/>
        <w:ind w:firstLine="480"/>
        <w:jc w:val="left"/>
        <w:rPr>
          <w:highlight w:val="none"/>
        </w:rPr>
      </w:pPr>
      <w:r>
        <w:rPr>
          <w:rFonts w:ascii="仿宋_GB2312" w:hAnsi="仿宋_GB2312" w:eastAsia="仿宋_GB2312" w:cs="仿宋_GB2312"/>
          <w:highlight w:val="none"/>
        </w:rPr>
        <w:t>（ ）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14:paraId="29605BE2">
      <w:pPr>
        <w:pStyle w:val="4"/>
        <w:ind w:firstLine="480"/>
        <w:jc w:val="left"/>
        <w:rPr>
          <w:highlight w:val="none"/>
        </w:rPr>
      </w:pPr>
      <w:r>
        <w:rPr>
          <w:rFonts w:ascii="仿宋_GB2312" w:hAnsi="仿宋_GB2312" w:eastAsia="仿宋_GB2312" w:cs="仿宋_GB2312"/>
          <w:highlight w:val="none"/>
        </w:rPr>
        <w:t>（ ）由本投标人承建的（填写“所投采购包、品目号”）工程</w:t>
      </w:r>
    </w:p>
    <w:p w14:paraId="79EBBA3C">
      <w:pPr>
        <w:pStyle w:val="4"/>
        <w:ind w:firstLine="480"/>
        <w:jc w:val="left"/>
        <w:rPr>
          <w:highlight w:val="none"/>
        </w:rPr>
      </w:pPr>
      <w:r>
        <w:rPr>
          <w:rFonts w:ascii="仿宋_GB2312" w:hAnsi="仿宋_GB2312" w:eastAsia="仿宋_GB2312" w:cs="仿宋_GB2312"/>
          <w:highlight w:val="none"/>
        </w:rPr>
        <w:t>（ ）由本投标人承接的（填写“所投采购包、品目号”）服务；</w:t>
      </w:r>
    </w:p>
    <w:p w14:paraId="10239DD9">
      <w:pPr>
        <w:pStyle w:val="4"/>
        <w:ind w:firstLine="480"/>
        <w:jc w:val="left"/>
        <w:rPr>
          <w:highlight w:val="none"/>
        </w:rPr>
      </w:pPr>
      <w:r>
        <w:rPr>
          <w:rFonts w:ascii="仿宋_GB2312" w:hAnsi="仿宋_GB2312" w:eastAsia="仿宋_GB2312" w:cs="仿宋_GB2312"/>
          <w:highlight w:val="none"/>
        </w:rPr>
        <w:t>本投标人对上述声明的真实性负责。如有虚假，将依法承担相应责任。</w:t>
      </w:r>
    </w:p>
    <w:p w14:paraId="11D987B8">
      <w:pPr>
        <w:pStyle w:val="4"/>
        <w:ind w:firstLine="480"/>
        <w:jc w:val="left"/>
        <w:rPr>
          <w:highlight w:val="none"/>
        </w:rPr>
      </w:pPr>
      <w:r>
        <w:rPr>
          <w:rFonts w:ascii="仿宋_GB2312" w:hAnsi="仿宋_GB2312" w:eastAsia="仿宋_GB2312" w:cs="仿宋_GB2312"/>
          <w:highlight w:val="none"/>
        </w:rPr>
        <w:t>备注：</w:t>
      </w:r>
    </w:p>
    <w:p w14:paraId="01D0D3CC">
      <w:pPr>
        <w:pStyle w:val="4"/>
        <w:ind w:firstLine="480"/>
        <w:jc w:val="left"/>
        <w:rPr>
          <w:highlight w:val="none"/>
        </w:rPr>
      </w:pPr>
      <w:r>
        <w:rPr>
          <w:rFonts w:ascii="仿宋_GB2312" w:hAnsi="仿宋_GB2312" w:eastAsia="仿宋_GB2312" w:cs="仿宋_GB2312"/>
          <w:highlight w:val="none"/>
        </w:rPr>
        <w:t>1、请投标人按照实际情况编制填写本声明函，并在相应的（）中打“√”。</w:t>
      </w:r>
    </w:p>
    <w:p w14:paraId="1E3CFA11">
      <w:pPr>
        <w:pStyle w:val="4"/>
        <w:ind w:firstLine="480"/>
        <w:jc w:val="left"/>
        <w:rPr>
          <w:highlight w:val="none"/>
        </w:rPr>
      </w:pPr>
      <w:r>
        <w:rPr>
          <w:rFonts w:ascii="仿宋_GB2312" w:hAnsi="仿宋_GB2312" w:eastAsia="仿宋_GB2312" w:cs="仿宋_GB2312"/>
          <w:highlight w:val="none"/>
        </w:rPr>
        <w:t>2、若《残疾人福利性单位声明函》内容不真实，视为提供虚假材料。</w:t>
      </w:r>
    </w:p>
    <w:p w14:paraId="073BD542">
      <w:pPr>
        <w:pStyle w:val="4"/>
        <w:ind w:firstLine="480"/>
        <w:jc w:val="right"/>
        <w:rPr>
          <w:highlight w:val="none"/>
        </w:rPr>
      </w:pPr>
      <w:r>
        <w:rPr>
          <w:rFonts w:ascii="仿宋_GB2312" w:hAnsi="仿宋_GB2312" w:eastAsia="仿宋_GB2312" w:cs="仿宋_GB2312"/>
          <w:highlight w:val="none"/>
        </w:rPr>
        <w:t>投标人：</w:t>
      </w:r>
      <w:r>
        <w:rPr>
          <w:rFonts w:ascii="仿宋_GB2312" w:hAnsi="仿宋_GB2312" w:eastAsia="仿宋_GB2312" w:cs="仿宋_GB2312"/>
          <w:highlight w:val="none"/>
          <w:u w:val="single"/>
        </w:rPr>
        <w:t>（全称并加盖单位公章）</w:t>
      </w:r>
    </w:p>
    <w:p w14:paraId="3272FC23">
      <w:pPr>
        <w:pStyle w:val="4"/>
        <w:ind w:firstLine="480"/>
        <w:jc w:val="right"/>
        <w:rPr>
          <w:highlight w:val="none"/>
        </w:rPr>
      </w:pPr>
      <w:r>
        <w:rPr>
          <w:rFonts w:ascii="仿宋_GB2312" w:hAnsi="仿宋_GB2312" w:eastAsia="仿宋_GB2312" w:cs="仿宋_GB2312"/>
          <w:highlight w:val="none"/>
        </w:rPr>
        <w:t>日期：</w:t>
      </w:r>
      <w:r>
        <w:rPr>
          <w:rFonts w:ascii="仿宋_GB2312" w:hAnsi="仿宋_GB2312" w:eastAsia="仿宋_GB2312" w:cs="仿宋_GB2312"/>
          <w:highlight w:val="none"/>
          <w:u w:val="single"/>
        </w:rPr>
        <w:t>　　年　　月　　日</w:t>
      </w:r>
    </w:p>
    <w:p w14:paraId="710B3486">
      <w:pPr>
        <w:pStyle w:val="4"/>
        <w:ind w:firstLine="480"/>
        <w:jc w:val="left"/>
        <w:rPr>
          <w:highlight w:val="none"/>
        </w:rPr>
      </w:pPr>
      <w:r>
        <w:rPr>
          <w:rFonts w:ascii="仿宋_GB2312" w:hAnsi="仿宋_GB2312" w:eastAsia="仿宋_GB2312" w:cs="仿宋_GB2312"/>
          <w:highlight w:val="none"/>
        </w:rPr>
        <w:t>附：</w:t>
      </w:r>
    </w:p>
    <w:p w14:paraId="3FCDF64A">
      <w:pPr>
        <w:pStyle w:val="4"/>
        <w:ind w:firstLine="960"/>
        <w:jc w:val="center"/>
        <w:outlineLvl w:val="3"/>
        <w:rPr>
          <w:highlight w:val="none"/>
        </w:rPr>
      </w:pPr>
      <w:r>
        <w:rPr>
          <w:rFonts w:ascii="仿宋_GB2312" w:hAnsi="仿宋_GB2312" w:eastAsia="仿宋_GB2312" w:cs="仿宋_GB2312"/>
          <w:b/>
          <w:sz w:val="24"/>
          <w:highlight w:val="none"/>
        </w:rPr>
        <w:t>监狱企业证明材料</w:t>
      </w:r>
    </w:p>
    <w:p w14:paraId="2E8F0D88">
      <w:pPr>
        <w:pStyle w:val="4"/>
        <w:ind w:firstLine="480"/>
        <w:jc w:val="left"/>
        <w:rPr>
          <w:highlight w:val="none"/>
        </w:rPr>
      </w:pPr>
      <w:r>
        <w:rPr>
          <w:rFonts w:ascii="仿宋_GB2312" w:hAnsi="仿宋_GB2312" w:eastAsia="仿宋_GB2312" w:cs="仿宋_GB2312"/>
          <w:highlight w:val="none"/>
        </w:rPr>
        <w:t>投标人为监狱企业，提供本单位制造的货物（承接的服务），并在电子投标文件中提供省级以上监狱管理局、戒毒管理局（含新疆生产建设兵团）出具的属于监狱企业的证明文件。</w:t>
      </w:r>
    </w:p>
    <w:p w14:paraId="5974FD25">
      <w:pPr>
        <w:pStyle w:val="4"/>
        <w:ind w:firstLine="960"/>
        <w:jc w:val="left"/>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756A9D7C">
      <w:pPr>
        <w:pStyle w:val="4"/>
        <w:ind w:firstLine="960"/>
        <w:jc w:val="center"/>
        <w:outlineLvl w:val="3"/>
        <w:rPr>
          <w:highlight w:val="none"/>
        </w:rPr>
      </w:pPr>
      <w:r>
        <w:rPr>
          <w:rFonts w:ascii="仿宋_GB2312" w:hAnsi="仿宋_GB2312" w:eastAsia="仿宋_GB2312" w:cs="仿宋_GB2312"/>
          <w:b/>
          <w:sz w:val="24"/>
          <w:highlight w:val="none"/>
        </w:rPr>
        <w:t>二-5联合体协议（若有）</w:t>
      </w:r>
    </w:p>
    <w:p w14:paraId="45D3F338">
      <w:pPr>
        <w:pStyle w:val="4"/>
        <w:ind w:firstLine="480"/>
        <w:jc w:val="left"/>
        <w:rPr>
          <w:highlight w:val="none"/>
        </w:rPr>
      </w:pPr>
      <w:r>
        <w:rPr>
          <w:rFonts w:ascii="仿宋_GB2312" w:hAnsi="仿宋_GB2312" w:eastAsia="仿宋_GB2312" w:cs="仿宋_GB2312"/>
          <w:highlight w:val="none"/>
        </w:rPr>
        <w:t>致：</w:t>
      </w:r>
      <w:r>
        <w:rPr>
          <w:rFonts w:ascii="仿宋_GB2312" w:hAnsi="仿宋_GB2312" w:eastAsia="仿宋_GB2312" w:cs="仿宋_GB2312"/>
          <w:highlight w:val="none"/>
          <w:u w:val="single"/>
        </w:rPr>
        <w:t>（采购人或采购代理机构）</w:t>
      </w:r>
    </w:p>
    <w:p w14:paraId="59EB702C">
      <w:pPr>
        <w:pStyle w:val="4"/>
        <w:ind w:firstLine="480"/>
        <w:jc w:val="left"/>
        <w:rPr>
          <w:highlight w:val="none"/>
        </w:rPr>
      </w:pPr>
      <w:r>
        <w:rPr>
          <w:rFonts w:ascii="仿宋_GB2312" w:hAnsi="仿宋_GB2312" w:eastAsia="仿宋_GB2312" w:cs="仿宋_GB2312"/>
          <w:highlight w:val="none"/>
        </w:rPr>
        <w:t>兹有</w:t>
      </w:r>
      <w:r>
        <w:rPr>
          <w:rFonts w:ascii="仿宋_GB2312" w:hAnsi="仿宋_GB2312" w:eastAsia="仿宋_GB2312" w:cs="仿宋_GB2312"/>
          <w:highlight w:val="none"/>
          <w:u w:val="single"/>
        </w:rPr>
        <w:t>（填写“联合体中各方的全称”，各方的全称之间请用“、”分割）</w:t>
      </w:r>
      <w:r>
        <w:rPr>
          <w:rFonts w:ascii="仿宋_GB2312" w:hAnsi="仿宋_GB2312" w:eastAsia="仿宋_GB2312" w:cs="仿宋_GB2312"/>
          <w:highlight w:val="none"/>
        </w:rPr>
        <w:t>自愿组成联合体，共同参加</w:t>
      </w:r>
      <w:r>
        <w:rPr>
          <w:rFonts w:ascii="仿宋_GB2312" w:hAnsi="仿宋_GB2312" w:eastAsia="仿宋_GB2312" w:cs="仿宋_GB2312"/>
          <w:highlight w:val="none"/>
          <w:u w:val="single"/>
        </w:rPr>
        <w:t>（填写“项目名称”）</w:t>
      </w:r>
      <w:r>
        <w:rPr>
          <w:rFonts w:ascii="仿宋_GB2312" w:hAnsi="仿宋_GB2312" w:eastAsia="仿宋_GB2312" w:cs="仿宋_GB2312"/>
          <w:highlight w:val="none"/>
        </w:rPr>
        <w:t xml:space="preserve"> 项目（项目编号：</w:t>
      </w:r>
      <w:r>
        <w:rPr>
          <w:rFonts w:ascii="仿宋_GB2312" w:hAnsi="仿宋_GB2312" w:eastAsia="仿宋_GB2312" w:cs="仿宋_GB2312"/>
          <w:highlight w:val="none"/>
          <w:u w:val="single"/>
        </w:rPr>
        <w:t>　　　　　　</w:t>
      </w:r>
      <w:r>
        <w:rPr>
          <w:rFonts w:ascii="仿宋_GB2312" w:hAnsi="仿宋_GB2312" w:eastAsia="仿宋_GB2312" w:cs="仿宋_GB2312"/>
          <w:highlight w:val="none"/>
        </w:rPr>
        <w:t>）的投标。现就联合体参加本项目投标的有关事宜达成下列协议：</w:t>
      </w:r>
    </w:p>
    <w:p w14:paraId="4B56D0E7">
      <w:pPr>
        <w:pStyle w:val="4"/>
        <w:ind w:firstLine="480"/>
        <w:jc w:val="left"/>
        <w:rPr>
          <w:highlight w:val="none"/>
        </w:rPr>
      </w:pPr>
      <w:r>
        <w:rPr>
          <w:rFonts w:ascii="仿宋_GB2312" w:hAnsi="仿宋_GB2312" w:eastAsia="仿宋_GB2312" w:cs="仿宋_GB2312"/>
          <w:highlight w:val="none"/>
        </w:rPr>
        <w:t>一、联合体各方应承担的工作和义务具体如下：</w:t>
      </w:r>
    </w:p>
    <w:p w14:paraId="5A945905">
      <w:pPr>
        <w:pStyle w:val="4"/>
        <w:ind w:firstLine="480"/>
        <w:jc w:val="left"/>
        <w:rPr>
          <w:highlight w:val="none"/>
        </w:rPr>
      </w:pPr>
      <w:r>
        <w:rPr>
          <w:rFonts w:ascii="仿宋_GB2312" w:hAnsi="仿宋_GB2312" w:eastAsia="仿宋_GB2312" w:cs="仿宋_GB2312"/>
          <w:highlight w:val="none"/>
        </w:rPr>
        <w:t>1、牵头方（全称）：</w:t>
      </w:r>
      <w:r>
        <w:rPr>
          <w:rFonts w:ascii="仿宋_GB2312" w:hAnsi="仿宋_GB2312" w:eastAsia="仿宋_GB2312" w:cs="仿宋_GB2312"/>
          <w:highlight w:val="none"/>
          <w:u w:val="single"/>
        </w:rPr>
        <w:t xml:space="preserve">（填写“工作及义务的具体内容”） </w:t>
      </w:r>
      <w:r>
        <w:rPr>
          <w:rFonts w:ascii="仿宋_GB2312" w:hAnsi="仿宋_GB2312" w:eastAsia="仿宋_GB2312" w:cs="仿宋_GB2312"/>
          <w:highlight w:val="none"/>
        </w:rPr>
        <w:t>；</w:t>
      </w:r>
    </w:p>
    <w:p w14:paraId="20F5255B">
      <w:pPr>
        <w:pStyle w:val="4"/>
        <w:ind w:firstLine="480"/>
        <w:jc w:val="left"/>
        <w:rPr>
          <w:highlight w:val="none"/>
        </w:rPr>
      </w:pPr>
      <w:r>
        <w:rPr>
          <w:rFonts w:ascii="仿宋_GB2312" w:hAnsi="仿宋_GB2312" w:eastAsia="仿宋_GB2312" w:cs="仿宋_GB2312"/>
          <w:highlight w:val="none"/>
        </w:rPr>
        <w:t>2、成员方：</w:t>
      </w:r>
    </w:p>
    <w:p w14:paraId="6DB90DFF">
      <w:pPr>
        <w:pStyle w:val="4"/>
        <w:ind w:firstLine="480"/>
        <w:jc w:val="left"/>
        <w:rPr>
          <w:highlight w:val="none"/>
        </w:rPr>
      </w:pPr>
      <w:r>
        <w:rPr>
          <w:rFonts w:ascii="仿宋_GB2312" w:hAnsi="仿宋_GB2312" w:eastAsia="仿宋_GB2312" w:cs="仿宋_GB2312"/>
          <w:highlight w:val="none"/>
        </w:rPr>
        <w:t>2.1（成员一的全称）：</w:t>
      </w:r>
      <w:r>
        <w:rPr>
          <w:rFonts w:ascii="仿宋_GB2312" w:hAnsi="仿宋_GB2312" w:eastAsia="仿宋_GB2312" w:cs="仿宋_GB2312"/>
          <w:highlight w:val="none"/>
          <w:u w:val="single"/>
        </w:rPr>
        <w:t>（填写“工作及义务的具体内容”）</w:t>
      </w:r>
      <w:r>
        <w:rPr>
          <w:rFonts w:ascii="仿宋_GB2312" w:hAnsi="仿宋_GB2312" w:eastAsia="仿宋_GB2312" w:cs="仿宋_GB2312"/>
          <w:highlight w:val="none"/>
        </w:rPr>
        <w:t xml:space="preserve"> ；</w:t>
      </w:r>
    </w:p>
    <w:p w14:paraId="4D5A85A7">
      <w:pPr>
        <w:pStyle w:val="4"/>
        <w:ind w:firstLine="480"/>
        <w:jc w:val="left"/>
        <w:rPr>
          <w:highlight w:val="none"/>
        </w:rPr>
      </w:pPr>
      <w:r>
        <w:rPr>
          <w:rFonts w:ascii="仿宋_GB2312" w:hAnsi="仿宋_GB2312" w:eastAsia="仿宋_GB2312" w:cs="仿宋_GB2312"/>
          <w:highlight w:val="none"/>
        </w:rPr>
        <w:t>……</w:t>
      </w:r>
    </w:p>
    <w:p w14:paraId="320EC010">
      <w:pPr>
        <w:pStyle w:val="4"/>
        <w:ind w:firstLine="480"/>
        <w:jc w:val="left"/>
        <w:rPr>
          <w:highlight w:val="none"/>
        </w:rPr>
      </w:pPr>
      <w:r>
        <w:rPr>
          <w:rFonts w:ascii="仿宋_GB2312" w:hAnsi="仿宋_GB2312" w:eastAsia="仿宋_GB2312" w:cs="仿宋_GB2312"/>
          <w:highlight w:val="none"/>
        </w:rPr>
        <w:t>二、联合体各方的合同金额占比，具体如下：</w:t>
      </w:r>
    </w:p>
    <w:p w14:paraId="66D3DFDC">
      <w:pPr>
        <w:pStyle w:val="4"/>
        <w:ind w:firstLine="480"/>
        <w:jc w:val="left"/>
        <w:rPr>
          <w:highlight w:val="none"/>
        </w:rPr>
      </w:pPr>
      <w:r>
        <w:rPr>
          <w:rFonts w:ascii="仿宋_GB2312" w:hAnsi="仿宋_GB2312" w:eastAsia="仿宋_GB2312" w:cs="仿宋_GB2312"/>
          <w:highlight w:val="none"/>
        </w:rPr>
        <w:t>1.牵头方（</w:t>
      </w:r>
      <w:r>
        <w:rPr>
          <w:rFonts w:ascii="仿宋_GB2312" w:hAnsi="仿宋_GB2312" w:eastAsia="仿宋_GB2312" w:cs="仿宋_GB2312"/>
          <w:highlight w:val="none"/>
          <w:u w:val="single"/>
        </w:rPr>
        <w:t xml:space="preserve"> 全称</w:t>
      </w:r>
      <w:r>
        <w:rPr>
          <w:rFonts w:ascii="仿宋_GB2312" w:hAnsi="仿宋_GB2312" w:eastAsia="仿宋_GB2312" w:cs="仿宋_GB2312"/>
          <w:highlight w:val="none"/>
        </w:rPr>
        <w:t xml:space="preserve"> ）的合同金额占合同总额的</w:t>
      </w:r>
      <w:r>
        <w:rPr>
          <w:rFonts w:ascii="仿宋_GB2312" w:hAnsi="仿宋_GB2312" w:eastAsia="仿宋_GB2312" w:cs="仿宋_GB2312"/>
          <w:highlight w:val="none"/>
          <w:u w:val="single"/>
        </w:rPr>
        <w:t>　　</w:t>
      </w:r>
      <w:r>
        <w:rPr>
          <w:rFonts w:ascii="仿宋_GB2312" w:hAnsi="仿宋_GB2312" w:eastAsia="仿宋_GB2312" w:cs="仿宋_GB2312"/>
          <w:highlight w:val="none"/>
        </w:rPr>
        <w:t>%；</w:t>
      </w:r>
    </w:p>
    <w:p w14:paraId="702EDF0A">
      <w:pPr>
        <w:pStyle w:val="4"/>
        <w:ind w:firstLine="480"/>
        <w:jc w:val="left"/>
        <w:rPr>
          <w:highlight w:val="none"/>
        </w:rPr>
      </w:pPr>
      <w:r>
        <w:rPr>
          <w:rFonts w:ascii="仿宋_GB2312" w:hAnsi="仿宋_GB2312" w:eastAsia="仿宋_GB2312" w:cs="仿宋_GB2312"/>
          <w:highlight w:val="none"/>
        </w:rPr>
        <w:t>2.成员方：</w:t>
      </w:r>
    </w:p>
    <w:p w14:paraId="4CEB44EF">
      <w:pPr>
        <w:pStyle w:val="4"/>
        <w:ind w:firstLine="480"/>
        <w:jc w:val="left"/>
        <w:rPr>
          <w:highlight w:val="none"/>
        </w:rPr>
      </w:pPr>
      <w:r>
        <w:rPr>
          <w:rFonts w:ascii="仿宋_GB2312" w:hAnsi="仿宋_GB2312" w:eastAsia="仿宋_GB2312" w:cs="仿宋_GB2312"/>
          <w:highlight w:val="none"/>
        </w:rPr>
        <w:t>2.1（</w:t>
      </w:r>
      <w:r>
        <w:rPr>
          <w:rFonts w:ascii="仿宋_GB2312" w:hAnsi="仿宋_GB2312" w:eastAsia="仿宋_GB2312" w:cs="仿宋_GB2312"/>
          <w:highlight w:val="none"/>
          <w:u w:val="single"/>
        </w:rPr>
        <w:t xml:space="preserve"> 成员1的全称 </w:t>
      </w:r>
      <w:r>
        <w:rPr>
          <w:rFonts w:ascii="仿宋_GB2312" w:hAnsi="仿宋_GB2312" w:eastAsia="仿宋_GB2312" w:cs="仿宋_GB2312"/>
          <w:highlight w:val="none"/>
        </w:rPr>
        <w:t>）的合同金额占合同总额的</w:t>
      </w:r>
      <w:r>
        <w:rPr>
          <w:rFonts w:ascii="仿宋_GB2312" w:hAnsi="仿宋_GB2312" w:eastAsia="仿宋_GB2312" w:cs="仿宋_GB2312"/>
          <w:highlight w:val="none"/>
          <w:u w:val="single"/>
        </w:rPr>
        <w:t>　　</w:t>
      </w:r>
      <w:r>
        <w:rPr>
          <w:rFonts w:ascii="仿宋_GB2312" w:hAnsi="仿宋_GB2312" w:eastAsia="仿宋_GB2312" w:cs="仿宋_GB2312"/>
          <w:highlight w:val="none"/>
        </w:rPr>
        <w:t>%；</w:t>
      </w:r>
    </w:p>
    <w:p w14:paraId="08C22B23">
      <w:pPr>
        <w:pStyle w:val="4"/>
        <w:ind w:firstLine="480"/>
        <w:jc w:val="left"/>
        <w:rPr>
          <w:highlight w:val="none"/>
        </w:rPr>
      </w:pPr>
      <w:r>
        <w:rPr>
          <w:rFonts w:ascii="仿宋_GB2312" w:hAnsi="仿宋_GB2312" w:eastAsia="仿宋_GB2312" w:cs="仿宋_GB2312"/>
          <w:highlight w:val="none"/>
        </w:rPr>
        <w:t>……</w:t>
      </w:r>
    </w:p>
    <w:p w14:paraId="0961360C">
      <w:pPr>
        <w:pStyle w:val="4"/>
        <w:ind w:firstLine="480"/>
        <w:jc w:val="left"/>
        <w:rPr>
          <w:highlight w:val="none"/>
        </w:rPr>
      </w:pPr>
      <w:r>
        <w:rPr>
          <w:rFonts w:ascii="仿宋_GB2312" w:hAnsi="仿宋_GB2312" w:eastAsia="仿宋_GB2312" w:cs="仿宋_GB2312"/>
          <w:highlight w:val="none"/>
        </w:rPr>
        <w:t>三、联合体各方约定：</w:t>
      </w:r>
    </w:p>
    <w:p w14:paraId="7124EBDA">
      <w:pPr>
        <w:pStyle w:val="4"/>
        <w:ind w:firstLine="480"/>
        <w:jc w:val="left"/>
        <w:rPr>
          <w:highlight w:val="none"/>
        </w:rPr>
      </w:pPr>
      <w:r>
        <w:rPr>
          <w:rFonts w:ascii="仿宋_GB2312" w:hAnsi="仿宋_GB2312" w:eastAsia="仿宋_GB2312" w:cs="仿宋_GB2312"/>
          <w:highlight w:val="none"/>
        </w:rPr>
        <w:t>1、由</w:t>
      </w:r>
      <w:r>
        <w:rPr>
          <w:rFonts w:ascii="仿宋_GB2312" w:hAnsi="仿宋_GB2312" w:eastAsia="仿宋_GB2312" w:cs="仿宋_GB2312"/>
          <w:highlight w:val="none"/>
          <w:u w:val="single"/>
        </w:rPr>
        <w:t>（填写“牵头方的全称”）代表联合体办理参加本项目投标的有关事宜（包括但不限于：注册账号、派出投标人代表、提交电子投标文件及参加开标、谈判、澄清等），在此过程中，投标人代表签字的一切文件和处理结果，联合体均予以认可并对此承担责任。</w:t>
      </w:r>
    </w:p>
    <w:p w14:paraId="2FC9BE5D">
      <w:pPr>
        <w:pStyle w:val="4"/>
        <w:ind w:firstLine="480"/>
        <w:jc w:val="left"/>
        <w:rPr>
          <w:highlight w:val="none"/>
        </w:rPr>
      </w:pPr>
      <w:r>
        <w:rPr>
          <w:rFonts w:ascii="仿宋_GB2312" w:hAnsi="仿宋_GB2312" w:eastAsia="仿宋_GB2312" w:cs="仿宋_GB2312"/>
          <w:highlight w:val="none"/>
        </w:rPr>
        <w:t>2、联合体各方约定由</w:t>
      </w:r>
      <w:r>
        <w:rPr>
          <w:rFonts w:ascii="仿宋_GB2312" w:hAnsi="仿宋_GB2312" w:eastAsia="仿宋_GB2312" w:cs="仿宋_GB2312"/>
          <w:highlight w:val="none"/>
          <w:u w:val="single"/>
        </w:rPr>
        <w:t>（填写“牵头方的全称”）代表联合体办理投标保证金事宜。</w:t>
      </w:r>
    </w:p>
    <w:p w14:paraId="322C8046">
      <w:pPr>
        <w:pStyle w:val="4"/>
        <w:ind w:firstLine="480"/>
        <w:jc w:val="left"/>
        <w:rPr>
          <w:highlight w:val="none"/>
        </w:rPr>
      </w:pPr>
      <w:r>
        <w:rPr>
          <w:rFonts w:ascii="仿宋_GB2312" w:hAnsi="仿宋_GB2312" w:eastAsia="仿宋_GB2312" w:cs="仿宋_GB2312"/>
          <w:highlight w:val="none"/>
        </w:rPr>
        <w:t>3、若本项目采用综合评分法，则联合体只能确定由其中一方的条件参与商务部分的评标。因此，联合体各方约定以（应填写“其中一方的全称”，如：联合体确定以成员一的条件参与商务部分的评标，则填写“成员一的全称”…；否则填写“无”）的条件参与商务部分的评标。</w:t>
      </w:r>
    </w:p>
    <w:p w14:paraId="2B132295">
      <w:pPr>
        <w:pStyle w:val="4"/>
        <w:ind w:firstLine="480"/>
        <w:jc w:val="left"/>
        <w:rPr>
          <w:highlight w:val="none"/>
        </w:rPr>
      </w:pPr>
      <w:r>
        <w:rPr>
          <w:rFonts w:ascii="仿宋_GB2312" w:hAnsi="仿宋_GB2312" w:eastAsia="仿宋_GB2312" w:cs="仿宋_GB2312"/>
          <w:highlight w:val="none"/>
        </w:rPr>
        <w:t>四、若中标，牵头方将代表联合体与采购人就合同签订事宜进行协商；若协商一致，则联合体各方将共同与采购人签订政府采购合同，并就政府采购合同约定的事项对采购人承担连带责任。</w:t>
      </w:r>
    </w:p>
    <w:p w14:paraId="782BD6D0">
      <w:pPr>
        <w:pStyle w:val="4"/>
        <w:ind w:firstLine="480"/>
        <w:jc w:val="left"/>
        <w:rPr>
          <w:highlight w:val="none"/>
        </w:rPr>
      </w:pPr>
      <w:r>
        <w:rPr>
          <w:rFonts w:ascii="仿宋_GB2312" w:hAnsi="仿宋_GB2312" w:eastAsia="仿宋_GB2312" w:cs="仿宋_GB2312"/>
          <w:highlight w:val="none"/>
        </w:rPr>
        <w:t>五、本协议自签署之日起生效，政府采购合同履行完毕后自动失效。</w:t>
      </w:r>
    </w:p>
    <w:p w14:paraId="2DB5ACD1">
      <w:pPr>
        <w:pStyle w:val="4"/>
        <w:ind w:firstLine="480"/>
        <w:jc w:val="left"/>
        <w:rPr>
          <w:highlight w:val="none"/>
        </w:rPr>
      </w:pPr>
      <w:r>
        <w:rPr>
          <w:rFonts w:ascii="仿宋_GB2312" w:hAnsi="仿宋_GB2312" w:eastAsia="仿宋_GB2312" w:cs="仿宋_GB2312"/>
          <w:highlight w:val="none"/>
        </w:rPr>
        <w:t>六、本协议一式</w:t>
      </w:r>
      <w:r>
        <w:rPr>
          <w:rFonts w:ascii="仿宋_GB2312" w:hAnsi="仿宋_GB2312" w:eastAsia="仿宋_GB2312" w:cs="仿宋_GB2312"/>
          <w:highlight w:val="none"/>
          <w:u w:val="single"/>
        </w:rPr>
        <w:t>（填写具体份数）</w:t>
      </w:r>
      <w:r>
        <w:rPr>
          <w:rFonts w:ascii="仿宋_GB2312" w:hAnsi="仿宋_GB2312" w:eastAsia="仿宋_GB2312" w:cs="仿宋_GB2312"/>
          <w:highlight w:val="none"/>
        </w:rPr>
        <w:t>份，联合体各方各执一份，电子投标文件中提交一份。</w:t>
      </w:r>
    </w:p>
    <w:p w14:paraId="159F9C8D">
      <w:pPr>
        <w:pStyle w:val="4"/>
        <w:ind w:firstLine="480"/>
        <w:jc w:val="left"/>
        <w:rPr>
          <w:highlight w:val="none"/>
        </w:rPr>
      </w:pPr>
      <w:r>
        <w:rPr>
          <w:rFonts w:ascii="仿宋_GB2312" w:hAnsi="仿宋_GB2312" w:eastAsia="仿宋_GB2312" w:cs="仿宋_GB2312"/>
          <w:highlight w:val="none"/>
        </w:rPr>
        <w:t>（以下无正文）</w:t>
      </w:r>
    </w:p>
    <w:p w14:paraId="72EA7752">
      <w:pPr>
        <w:pStyle w:val="4"/>
        <w:ind w:firstLine="480"/>
        <w:jc w:val="left"/>
        <w:rPr>
          <w:highlight w:val="none"/>
        </w:rPr>
      </w:pPr>
      <w:r>
        <w:rPr>
          <w:rFonts w:ascii="仿宋_GB2312" w:hAnsi="仿宋_GB2312" w:eastAsia="仿宋_GB2312" w:cs="仿宋_GB2312"/>
          <w:highlight w:val="none"/>
        </w:rPr>
        <w:t>牵头方：</w:t>
      </w:r>
      <w:r>
        <w:rPr>
          <w:rFonts w:ascii="仿宋_GB2312" w:hAnsi="仿宋_GB2312" w:eastAsia="仿宋_GB2312" w:cs="仿宋_GB2312"/>
          <w:highlight w:val="none"/>
          <w:u w:val="single"/>
        </w:rPr>
        <w:t>（全称并加盖单位公章）</w:t>
      </w:r>
    </w:p>
    <w:p w14:paraId="35C290DA">
      <w:pPr>
        <w:pStyle w:val="4"/>
        <w:ind w:firstLine="480"/>
        <w:jc w:val="left"/>
        <w:rPr>
          <w:highlight w:val="none"/>
        </w:rPr>
      </w:pPr>
      <w:r>
        <w:rPr>
          <w:rFonts w:ascii="仿宋_GB2312" w:hAnsi="仿宋_GB2312" w:eastAsia="仿宋_GB2312" w:cs="仿宋_GB2312"/>
          <w:highlight w:val="none"/>
        </w:rPr>
        <w:t>法定代表人或其委托代理人：</w:t>
      </w:r>
      <w:r>
        <w:rPr>
          <w:rFonts w:ascii="仿宋_GB2312" w:hAnsi="仿宋_GB2312" w:eastAsia="仿宋_GB2312" w:cs="仿宋_GB2312"/>
          <w:highlight w:val="none"/>
          <w:u w:val="single"/>
        </w:rPr>
        <w:t xml:space="preserve"> （签字或盖章）</w:t>
      </w:r>
    </w:p>
    <w:p w14:paraId="172F04DF">
      <w:pPr>
        <w:pStyle w:val="4"/>
        <w:ind w:firstLine="480"/>
        <w:jc w:val="left"/>
        <w:rPr>
          <w:highlight w:val="none"/>
        </w:rPr>
      </w:pPr>
      <w:r>
        <w:rPr>
          <w:rFonts w:ascii="仿宋_GB2312" w:hAnsi="仿宋_GB2312" w:eastAsia="仿宋_GB2312" w:cs="仿宋_GB2312"/>
          <w:highlight w:val="none"/>
        </w:rPr>
        <w:t>成员一：</w:t>
      </w:r>
      <w:r>
        <w:rPr>
          <w:rFonts w:ascii="仿宋_GB2312" w:hAnsi="仿宋_GB2312" w:eastAsia="仿宋_GB2312" w:cs="仿宋_GB2312"/>
          <w:highlight w:val="none"/>
          <w:u w:val="single"/>
        </w:rPr>
        <w:t>（全称并加盖成员一的单位公章）</w:t>
      </w:r>
    </w:p>
    <w:p w14:paraId="51463F7F">
      <w:pPr>
        <w:pStyle w:val="4"/>
        <w:ind w:firstLine="480"/>
        <w:jc w:val="left"/>
        <w:rPr>
          <w:highlight w:val="none"/>
        </w:rPr>
      </w:pPr>
      <w:r>
        <w:rPr>
          <w:rFonts w:ascii="仿宋_GB2312" w:hAnsi="仿宋_GB2312" w:eastAsia="仿宋_GB2312" w:cs="仿宋_GB2312"/>
          <w:highlight w:val="none"/>
        </w:rPr>
        <w:t>法定代表人或其委托代理人：</w:t>
      </w:r>
      <w:r>
        <w:rPr>
          <w:rFonts w:ascii="仿宋_GB2312" w:hAnsi="仿宋_GB2312" w:eastAsia="仿宋_GB2312" w:cs="仿宋_GB2312"/>
          <w:highlight w:val="none"/>
          <w:u w:val="single"/>
        </w:rPr>
        <w:t xml:space="preserve"> （签字或盖章）</w:t>
      </w:r>
    </w:p>
    <w:p w14:paraId="116CFCAE">
      <w:pPr>
        <w:pStyle w:val="4"/>
        <w:ind w:firstLine="480"/>
        <w:jc w:val="left"/>
        <w:rPr>
          <w:highlight w:val="none"/>
        </w:rPr>
      </w:pPr>
      <w:r>
        <w:rPr>
          <w:rFonts w:ascii="仿宋_GB2312" w:hAnsi="仿宋_GB2312" w:eastAsia="仿宋_GB2312" w:cs="仿宋_GB2312"/>
          <w:highlight w:val="none"/>
        </w:rPr>
        <w:t>……</w:t>
      </w:r>
    </w:p>
    <w:p w14:paraId="1F2CF1A9">
      <w:pPr>
        <w:pStyle w:val="4"/>
        <w:ind w:firstLine="480"/>
        <w:jc w:val="left"/>
        <w:rPr>
          <w:highlight w:val="none"/>
        </w:rPr>
      </w:pPr>
      <w:r>
        <w:rPr>
          <w:rFonts w:ascii="仿宋_GB2312" w:hAnsi="仿宋_GB2312" w:eastAsia="仿宋_GB2312" w:cs="仿宋_GB2312"/>
          <w:highlight w:val="none"/>
        </w:rPr>
        <w:t>成员**：</w:t>
      </w:r>
      <w:r>
        <w:rPr>
          <w:rFonts w:ascii="仿宋_GB2312" w:hAnsi="仿宋_GB2312" w:eastAsia="仿宋_GB2312" w:cs="仿宋_GB2312"/>
          <w:highlight w:val="none"/>
          <w:u w:val="single"/>
        </w:rPr>
        <w:t>（全称并加盖成员**的单位公章）</w:t>
      </w:r>
    </w:p>
    <w:p w14:paraId="59C160BC">
      <w:pPr>
        <w:pStyle w:val="4"/>
        <w:ind w:firstLine="480"/>
        <w:jc w:val="left"/>
        <w:rPr>
          <w:highlight w:val="none"/>
        </w:rPr>
      </w:pPr>
      <w:r>
        <w:rPr>
          <w:rFonts w:ascii="仿宋_GB2312" w:hAnsi="仿宋_GB2312" w:eastAsia="仿宋_GB2312" w:cs="仿宋_GB2312"/>
          <w:highlight w:val="none"/>
        </w:rPr>
        <w:t>法定代表人或其委托代理人：</w:t>
      </w:r>
      <w:r>
        <w:rPr>
          <w:rFonts w:ascii="仿宋_GB2312" w:hAnsi="仿宋_GB2312" w:eastAsia="仿宋_GB2312" w:cs="仿宋_GB2312"/>
          <w:highlight w:val="none"/>
          <w:u w:val="single"/>
        </w:rPr>
        <w:t xml:space="preserve"> （签字或盖章）</w:t>
      </w:r>
    </w:p>
    <w:p w14:paraId="1227199B">
      <w:pPr>
        <w:pStyle w:val="4"/>
        <w:ind w:firstLine="480"/>
        <w:jc w:val="right"/>
        <w:rPr>
          <w:highlight w:val="none"/>
        </w:rPr>
      </w:pPr>
      <w:r>
        <w:rPr>
          <w:rFonts w:ascii="仿宋_GB2312" w:hAnsi="仿宋_GB2312" w:eastAsia="仿宋_GB2312" w:cs="仿宋_GB2312"/>
          <w:highlight w:val="none"/>
        </w:rPr>
        <w:t>签署日期：</w:t>
      </w:r>
      <w:r>
        <w:rPr>
          <w:rFonts w:ascii="仿宋_GB2312" w:hAnsi="仿宋_GB2312" w:eastAsia="仿宋_GB2312" w:cs="仿宋_GB2312"/>
          <w:highlight w:val="none"/>
          <w:u w:val="single"/>
        </w:rPr>
        <w:t>　　年　　月　　日</w:t>
      </w:r>
    </w:p>
    <w:p w14:paraId="2CCBDC3E">
      <w:pPr>
        <w:pStyle w:val="4"/>
        <w:ind w:firstLine="480"/>
        <w:jc w:val="left"/>
        <w:rPr>
          <w:highlight w:val="none"/>
        </w:rPr>
      </w:pPr>
      <w:r>
        <w:rPr>
          <w:rFonts w:ascii="仿宋_GB2312" w:hAnsi="仿宋_GB2312" w:eastAsia="仿宋_GB2312" w:cs="仿宋_GB2312"/>
          <w:highlight w:val="none"/>
        </w:rPr>
        <w:t>※注意：</w:t>
      </w:r>
    </w:p>
    <w:p w14:paraId="2BEB07E9">
      <w:pPr>
        <w:pStyle w:val="4"/>
        <w:ind w:firstLine="480"/>
        <w:jc w:val="left"/>
        <w:rPr>
          <w:highlight w:val="none"/>
        </w:rPr>
      </w:pPr>
      <w:r>
        <w:rPr>
          <w:rFonts w:ascii="仿宋_GB2312" w:hAnsi="仿宋_GB2312" w:eastAsia="仿宋_GB2312" w:cs="仿宋_GB2312"/>
          <w:highlight w:val="none"/>
        </w:rPr>
        <w:t>1、招标文件接受联合体投标且投标人为联合体的，投标人应提供本协议；否则无须提供。</w:t>
      </w:r>
    </w:p>
    <w:p w14:paraId="78DBEBDA">
      <w:pPr>
        <w:pStyle w:val="4"/>
        <w:ind w:firstLine="480"/>
        <w:jc w:val="left"/>
        <w:rPr>
          <w:highlight w:val="none"/>
        </w:rPr>
      </w:pPr>
      <w:r>
        <w:rPr>
          <w:rFonts w:ascii="仿宋_GB2312" w:hAnsi="仿宋_GB2312" w:eastAsia="仿宋_GB2312" w:cs="仿宋_GB2312"/>
          <w:highlight w:val="none"/>
        </w:rPr>
        <w:t>2、本协议由委托代理人签字或盖章的，应按照本章载明的格式提供“单位授权书”。</w:t>
      </w:r>
    </w:p>
    <w:p w14:paraId="46A9BBF6">
      <w:pPr>
        <w:pStyle w:val="4"/>
        <w:ind w:firstLine="480"/>
        <w:jc w:val="left"/>
        <w:rPr>
          <w:highlight w:val="none"/>
        </w:rPr>
      </w:pPr>
      <w:r>
        <w:rPr>
          <w:rFonts w:ascii="仿宋_GB2312" w:hAnsi="仿宋_GB2312" w:eastAsia="仿宋_GB2312" w:cs="仿宋_GB2312"/>
          <w:highlight w:val="none"/>
        </w:rPr>
        <w:t>3、在以联合体形式落实中小企业预留份额项目中，投标人除了要提供《中小企业声明函》，还需提供本协议。</w:t>
      </w:r>
    </w:p>
    <w:p w14:paraId="7F83EDAF">
      <w:pPr>
        <w:pStyle w:val="4"/>
        <w:ind w:firstLine="960"/>
        <w:jc w:val="left"/>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497A2DB4">
      <w:pPr>
        <w:pStyle w:val="4"/>
        <w:ind w:firstLine="960"/>
        <w:jc w:val="center"/>
        <w:outlineLvl w:val="3"/>
        <w:rPr>
          <w:highlight w:val="none"/>
        </w:rPr>
      </w:pPr>
      <w:r>
        <w:rPr>
          <w:rFonts w:ascii="仿宋_GB2312" w:hAnsi="仿宋_GB2312" w:eastAsia="仿宋_GB2312" w:cs="仿宋_GB2312"/>
          <w:b/>
          <w:sz w:val="24"/>
          <w:highlight w:val="none"/>
        </w:rPr>
        <w:t>二-6分包意向协议（若有）</w:t>
      </w:r>
    </w:p>
    <w:p w14:paraId="088C4745">
      <w:pPr>
        <w:pStyle w:val="4"/>
        <w:ind w:firstLine="480"/>
        <w:jc w:val="left"/>
        <w:rPr>
          <w:highlight w:val="none"/>
        </w:rPr>
      </w:pPr>
      <w:r>
        <w:rPr>
          <w:rFonts w:ascii="仿宋_GB2312" w:hAnsi="仿宋_GB2312" w:eastAsia="仿宋_GB2312" w:cs="仿宋_GB2312"/>
          <w:highlight w:val="none"/>
        </w:rPr>
        <w:t>甲方（总包方）：</w:t>
      </w:r>
      <w:r>
        <w:rPr>
          <w:rFonts w:ascii="仿宋_GB2312" w:hAnsi="仿宋_GB2312" w:eastAsia="仿宋_GB2312" w:cs="仿宋_GB2312"/>
          <w:highlight w:val="none"/>
          <w:u w:val="single"/>
        </w:rPr>
        <w:t>　　　　　　　</w:t>
      </w:r>
      <w:r>
        <w:rPr>
          <w:rFonts w:ascii="仿宋_GB2312" w:hAnsi="仿宋_GB2312" w:eastAsia="仿宋_GB2312" w:cs="仿宋_GB2312"/>
          <w:highlight w:val="none"/>
        </w:rPr>
        <w:t>（即本项目的投标人）</w:t>
      </w:r>
    </w:p>
    <w:p w14:paraId="0DE085DE">
      <w:pPr>
        <w:pStyle w:val="4"/>
        <w:ind w:firstLine="480"/>
        <w:jc w:val="left"/>
        <w:rPr>
          <w:highlight w:val="none"/>
        </w:rPr>
      </w:pPr>
      <w:r>
        <w:rPr>
          <w:rFonts w:ascii="仿宋_GB2312" w:hAnsi="仿宋_GB2312" w:eastAsia="仿宋_GB2312" w:cs="仿宋_GB2312"/>
          <w:highlight w:val="none"/>
        </w:rPr>
        <w:t>乙方（分包方）：</w:t>
      </w:r>
      <w:r>
        <w:rPr>
          <w:rFonts w:ascii="仿宋_GB2312" w:hAnsi="仿宋_GB2312" w:eastAsia="仿宋_GB2312" w:cs="仿宋_GB2312"/>
          <w:highlight w:val="none"/>
          <w:u w:val="single"/>
        </w:rPr>
        <w:t>　　　　　　　</w:t>
      </w:r>
    </w:p>
    <w:p w14:paraId="458ACACC">
      <w:pPr>
        <w:pStyle w:val="4"/>
        <w:ind w:firstLine="480"/>
        <w:jc w:val="left"/>
        <w:rPr>
          <w:highlight w:val="none"/>
        </w:rPr>
      </w:pPr>
      <w:r>
        <w:rPr>
          <w:rFonts w:ascii="仿宋_GB2312" w:hAnsi="仿宋_GB2312" w:eastAsia="仿宋_GB2312" w:cs="仿宋_GB2312"/>
          <w:highlight w:val="none"/>
        </w:rPr>
        <w:t>兹有甲方参加</w:t>
      </w:r>
      <w:r>
        <w:rPr>
          <w:rFonts w:ascii="仿宋_GB2312" w:hAnsi="仿宋_GB2312" w:eastAsia="仿宋_GB2312" w:cs="仿宋_GB2312"/>
          <w:highlight w:val="none"/>
          <w:u w:val="single"/>
        </w:rPr>
        <w:t>（填写“项目名称”）</w:t>
      </w:r>
      <w:r>
        <w:rPr>
          <w:rFonts w:ascii="仿宋_GB2312" w:hAnsi="仿宋_GB2312" w:eastAsia="仿宋_GB2312" w:cs="仿宋_GB2312"/>
          <w:highlight w:val="none"/>
        </w:rPr>
        <w:t xml:space="preserve"> 项目（项目编号：</w:t>
      </w:r>
      <w:r>
        <w:rPr>
          <w:rFonts w:ascii="仿宋_GB2312" w:hAnsi="仿宋_GB2312" w:eastAsia="仿宋_GB2312" w:cs="仿宋_GB2312"/>
          <w:highlight w:val="none"/>
          <w:u w:val="single"/>
        </w:rPr>
        <w:t>　　　　　　　</w:t>
      </w:r>
      <w:r>
        <w:rPr>
          <w:rFonts w:ascii="仿宋_GB2312" w:hAnsi="仿宋_GB2312" w:eastAsia="仿宋_GB2312" w:cs="仿宋_GB2312"/>
          <w:highlight w:val="none"/>
        </w:rPr>
        <w:t>）的政府采购活动。甲方期望将采购项目的部分采购标的分包给乙方完成，而乙方保证能够向甲方提供本协议项下的采购标的，甲、乙双方就合同分包的有关事宜达成下列协议：</w:t>
      </w:r>
    </w:p>
    <w:p w14:paraId="6C36E621">
      <w:pPr>
        <w:pStyle w:val="4"/>
        <w:ind w:firstLine="480"/>
        <w:jc w:val="left"/>
        <w:rPr>
          <w:highlight w:val="none"/>
        </w:rPr>
      </w:pPr>
      <w:r>
        <w:rPr>
          <w:rFonts w:ascii="仿宋_GB2312" w:hAnsi="仿宋_GB2312" w:eastAsia="仿宋_GB2312" w:cs="仿宋_GB2312"/>
          <w:highlight w:val="none"/>
        </w:rPr>
        <w:t>一、分包标的</w:t>
      </w:r>
    </w:p>
    <w:p w14:paraId="610A8C75">
      <w:pPr>
        <w:pStyle w:val="4"/>
        <w:ind w:firstLine="480"/>
        <w:jc w:val="left"/>
        <w:rPr>
          <w:highlight w:val="none"/>
        </w:rPr>
      </w:pPr>
      <w:r>
        <w:rPr>
          <w:rFonts w:ascii="仿宋_GB2312" w:hAnsi="仿宋_GB2312" w:eastAsia="仿宋_GB2312" w:cs="仿宋_GB2312"/>
          <w:highlight w:val="none"/>
          <w:u w:val="single"/>
        </w:rPr>
        <w:t>（根据双方的意向填写，可以是表格或文字描述）。</w:t>
      </w:r>
    </w:p>
    <w:p w14:paraId="3869F52C">
      <w:pPr>
        <w:pStyle w:val="4"/>
        <w:ind w:firstLine="480"/>
        <w:jc w:val="left"/>
        <w:rPr>
          <w:highlight w:val="none"/>
        </w:rPr>
      </w:pPr>
      <w:r>
        <w:rPr>
          <w:rFonts w:ascii="仿宋_GB2312" w:hAnsi="仿宋_GB2312" w:eastAsia="仿宋_GB2312" w:cs="仿宋_GB2312"/>
          <w:highlight w:val="none"/>
        </w:rPr>
        <w:t>二、分包合同金额占比</w:t>
      </w:r>
    </w:p>
    <w:p w14:paraId="086A9F53">
      <w:pPr>
        <w:pStyle w:val="4"/>
        <w:ind w:firstLine="480"/>
        <w:jc w:val="left"/>
        <w:rPr>
          <w:highlight w:val="none"/>
        </w:rPr>
      </w:pPr>
      <w:r>
        <w:rPr>
          <w:rFonts w:ascii="仿宋_GB2312" w:hAnsi="仿宋_GB2312" w:eastAsia="仿宋_GB2312" w:cs="仿宋_GB2312"/>
          <w:highlight w:val="none"/>
        </w:rPr>
        <w:t>分包合同价占投标总价的比例：</w:t>
      </w:r>
      <w:r>
        <w:rPr>
          <w:rFonts w:ascii="仿宋_GB2312" w:hAnsi="仿宋_GB2312" w:eastAsia="仿宋_GB2312" w:cs="仿宋_GB2312"/>
          <w:highlight w:val="none"/>
          <w:u w:val="single"/>
        </w:rPr>
        <w:t>　　　　　</w:t>
      </w:r>
      <w:r>
        <w:rPr>
          <w:rFonts w:ascii="仿宋_GB2312" w:hAnsi="仿宋_GB2312" w:eastAsia="仿宋_GB2312" w:cs="仿宋_GB2312"/>
          <w:highlight w:val="none"/>
        </w:rPr>
        <w:t>%</w:t>
      </w:r>
    </w:p>
    <w:p w14:paraId="424F1111">
      <w:pPr>
        <w:pStyle w:val="4"/>
        <w:ind w:firstLine="480"/>
        <w:jc w:val="left"/>
        <w:rPr>
          <w:highlight w:val="none"/>
        </w:rPr>
      </w:pPr>
      <w:r>
        <w:rPr>
          <w:rFonts w:ascii="仿宋_GB2312" w:hAnsi="仿宋_GB2312" w:eastAsia="仿宋_GB2312" w:cs="仿宋_GB2312"/>
          <w:highlight w:val="none"/>
        </w:rPr>
        <w:t>三、其他条款</w:t>
      </w:r>
    </w:p>
    <w:p w14:paraId="288C83BB">
      <w:pPr>
        <w:pStyle w:val="4"/>
        <w:ind w:firstLine="480"/>
        <w:jc w:val="left"/>
        <w:rPr>
          <w:highlight w:val="none"/>
        </w:rPr>
      </w:pPr>
      <w:r>
        <w:rPr>
          <w:rFonts w:ascii="仿宋_GB2312" w:hAnsi="仿宋_GB2312" w:eastAsia="仿宋_GB2312" w:cs="仿宋_GB2312"/>
          <w:highlight w:val="none"/>
        </w:rPr>
        <w:t>分包合同标的交付时间、地点和条件，质量要求和标准，验收，款项的支付，履约担保，违约责任，质量保证，知识产权，合同纠纷处理方式，不可抗力等条款待甲方中标（成交）后，根据甲方与采购人签订的总包合同确定具体的内容。</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5C23ED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68612EF">
            <w:pPr>
              <w:pStyle w:val="4"/>
              <w:jc w:val="left"/>
              <w:rPr>
                <w:highlight w:val="none"/>
              </w:rPr>
            </w:pPr>
            <w:r>
              <w:rPr>
                <w:rFonts w:ascii="仿宋_GB2312" w:hAnsi="仿宋_GB2312" w:eastAsia="仿宋_GB2312" w:cs="仿宋_GB2312"/>
                <w:highlight w:val="none"/>
              </w:rPr>
              <w:t>甲方：</w:t>
            </w:r>
          </w:p>
        </w:tc>
        <w:tc>
          <w:tcPr>
            <w:tcW w:w="4153" w:type="dxa"/>
          </w:tcPr>
          <w:p w14:paraId="10A467FC">
            <w:pPr>
              <w:pStyle w:val="4"/>
              <w:jc w:val="left"/>
              <w:rPr>
                <w:highlight w:val="none"/>
              </w:rPr>
            </w:pPr>
            <w:r>
              <w:rPr>
                <w:rFonts w:ascii="仿宋_GB2312" w:hAnsi="仿宋_GB2312" w:eastAsia="仿宋_GB2312" w:cs="仿宋_GB2312"/>
                <w:highlight w:val="none"/>
              </w:rPr>
              <w:t>乙方：</w:t>
            </w:r>
          </w:p>
        </w:tc>
      </w:tr>
      <w:tr w14:paraId="0F15D4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034F6AF">
            <w:pPr>
              <w:pStyle w:val="4"/>
              <w:jc w:val="left"/>
              <w:rPr>
                <w:highlight w:val="none"/>
              </w:rPr>
            </w:pPr>
            <w:r>
              <w:rPr>
                <w:rFonts w:ascii="仿宋_GB2312" w:hAnsi="仿宋_GB2312" w:eastAsia="仿宋_GB2312" w:cs="仿宋_GB2312"/>
                <w:highlight w:val="none"/>
              </w:rPr>
              <w:t>住所：</w:t>
            </w:r>
          </w:p>
        </w:tc>
        <w:tc>
          <w:tcPr>
            <w:tcW w:w="4153" w:type="dxa"/>
          </w:tcPr>
          <w:p w14:paraId="27892859">
            <w:pPr>
              <w:pStyle w:val="4"/>
              <w:jc w:val="left"/>
              <w:rPr>
                <w:highlight w:val="none"/>
              </w:rPr>
            </w:pPr>
            <w:r>
              <w:rPr>
                <w:rFonts w:ascii="仿宋_GB2312" w:hAnsi="仿宋_GB2312" w:eastAsia="仿宋_GB2312" w:cs="仿宋_GB2312"/>
                <w:highlight w:val="none"/>
              </w:rPr>
              <w:t>住所：</w:t>
            </w:r>
          </w:p>
        </w:tc>
      </w:tr>
      <w:tr w14:paraId="6DCC2A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72A4B89E">
            <w:pPr>
              <w:pStyle w:val="4"/>
              <w:jc w:val="left"/>
              <w:rPr>
                <w:highlight w:val="none"/>
              </w:rPr>
            </w:pPr>
            <w:r>
              <w:rPr>
                <w:rFonts w:ascii="仿宋_GB2312" w:hAnsi="仿宋_GB2312" w:eastAsia="仿宋_GB2312" w:cs="仿宋_GB2312"/>
                <w:highlight w:val="none"/>
              </w:rPr>
              <w:t>单位负责人或委托代理人：</w:t>
            </w:r>
          </w:p>
        </w:tc>
        <w:tc>
          <w:tcPr>
            <w:tcW w:w="4153" w:type="dxa"/>
          </w:tcPr>
          <w:p w14:paraId="1E5A70E1">
            <w:pPr>
              <w:pStyle w:val="4"/>
              <w:jc w:val="left"/>
              <w:rPr>
                <w:highlight w:val="none"/>
              </w:rPr>
            </w:pPr>
            <w:r>
              <w:rPr>
                <w:rFonts w:ascii="仿宋_GB2312" w:hAnsi="仿宋_GB2312" w:eastAsia="仿宋_GB2312" w:cs="仿宋_GB2312"/>
                <w:highlight w:val="none"/>
              </w:rPr>
              <w:t>单位负责人或委托代理人：</w:t>
            </w:r>
          </w:p>
        </w:tc>
      </w:tr>
      <w:tr w14:paraId="3310EF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730E8AA5">
            <w:pPr>
              <w:pStyle w:val="4"/>
              <w:jc w:val="left"/>
              <w:rPr>
                <w:highlight w:val="none"/>
              </w:rPr>
            </w:pPr>
            <w:r>
              <w:rPr>
                <w:rFonts w:ascii="仿宋_GB2312" w:hAnsi="仿宋_GB2312" w:eastAsia="仿宋_GB2312" w:cs="仿宋_GB2312"/>
                <w:highlight w:val="none"/>
              </w:rPr>
              <w:t>联系方法：</w:t>
            </w:r>
          </w:p>
        </w:tc>
        <w:tc>
          <w:tcPr>
            <w:tcW w:w="4153" w:type="dxa"/>
          </w:tcPr>
          <w:p w14:paraId="650511E1">
            <w:pPr>
              <w:pStyle w:val="4"/>
              <w:jc w:val="left"/>
              <w:rPr>
                <w:highlight w:val="none"/>
              </w:rPr>
            </w:pPr>
            <w:r>
              <w:rPr>
                <w:rFonts w:ascii="仿宋_GB2312" w:hAnsi="仿宋_GB2312" w:eastAsia="仿宋_GB2312" w:cs="仿宋_GB2312"/>
                <w:highlight w:val="none"/>
              </w:rPr>
              <w:t>联系方法：</w:t>
            </w:r>
          </w:p>
        </w:tc>
      </w:tr>
      <w:tr w14:paraId="08D8E0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4A82D6D9">
            <w:pPr>
              <w:pStyle w:val="4"/>
              <w:jc w:val="left"/>
              <w:rPr>
                <w:highlight w:val="none"/>
              </w:rPr>
            </w:pPr>
            <w:r>
              <w:rPr>
                <w:rFonts w:ascii="仿宋_GB2312" w:hAnsi="仿宋_GB2312" w:eastAsia="仿宋_GB2312" w:cs="仿宋_GB2312"/>
                <w:highlight w:val="none"/>
              </w:rPr>
              <w:t>开户银行：</w:t>
            </w:r>
          </w:p>
        </w:tc>
        <w:tc>
          <w:tcPr>
            <w:tcW w:w="4153" w:type="dxa"/>
          </w:tcPr>
          <w:p w14:paraId="3F30D6B8">
            <w:pPr>
              <w:pStyle w:val="4"/>
              <w:jc w:val="left"/>
              <w:rPr>
                <w:highlight w:val="none"/>
              </w:rPr>
            </w:pPr>
            <w:r>
              <w:rPr>
                <w:rFonts w:ascii="仿宋_GB2312" w:hAnsi="仿宋_GB2312" w:eastAsia="仿宋_GB2312" w:cs="仿宋_GB2312"/>
                <w:highlight w:val="none"/>
              </w:rPr>
              <w:t>开户银行：</w:t>
            </w:r>
          </w:p>
        </w:tc>
      </w:tr>
      <w:tr w14:paraId="55D8D8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F44FF94">
            <w:pPr>
              <w:pStyle w:val="4"/>
              <w:jc w:val="left"/>
              <w:rPr>
                <w:highlight w:val="none"/>
              </w:rPr>
            </w:pPr>
            <w:r>
              <w:rPr>
                <w:rFonts w:ascii="仿宋_GB2312" w:hAnsi="仿宋_GB2312" w:eastAsia="仿宋_GB2312" w:cs="仿宋_GB2312"/>
                <w:highlight w:val="none"/>
              </w:rPr>
              <w:t>账号：</w:t>
            </w:r>
          </w:p>
        </w:tc>
        <w:tc>
          <w:tcPr>
            <w:tcW w:w="4153" w:type="dxa"/>
          </w:tcPr>
          <w:p w14:paraId="2DD9339E">
            <w:pPr>
              <w:pStyle w:val="4"/>
              <w:jc w:val="left"/>
              <w:rPr>
                <w:highlight w:val="none"/>
              </w:rPr>
            </w:pPr>
            <w:r>
              <w:rPr>
                <w:rFonts w:ascii="仿宋_GB2312" w:hAnsi="仿宋_GB2312" w:eastAsia="仿宋_GB2312" w:cs="仿宋_GB2312"/>
                <w:highlight w:val="none"/>
              </w:rPr>
              <w:t>账号：</w:t>
            </w:r>
          </w:p>
        </w:tc>
      </w:tr>
      <w:tr w14:paraId="26298C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gridSpan w:val="2"/>
          </w:tcPr>
          <w:p w14:paraId="3AC3B92F">
            <w:pPr>
              <w:pStyle w:val="4"/>
              <w:ind w:firstLine="960"/>
              <w:jc w:val="right"/>
              <w:rPr>
                <w:highlight w:val="none"/>
              </w:rPr>
            </w:pPr>
            <w:r>
              <w:rPr>
                <w:rFonts w:ascii="仿宋_GB2312" w:hAnsi="仿宋_GB2312" w:eastAsia="仿宋_GB2312" w:cs="仿宋_GB2312"/>
                <w:highlight w:val="none"/>
              </w:rPr>
              <w:t>签订地点：</w:t>
            </w:r>
            <w:r>
              <w:rPr>
                <w:rFonts w:ascii="仿宋_GB2312" w:hAnsi="仿宋_GB2312" w:eastAsia="仿宋_GB2312" w:cs="仿宋_GB2312"/>
                <w:highlight w:val="none"/>
                <w:u w:val="single"/>
              </w:rPr>
              <w:t>　　　　　　　　　　</w:t>
            </w:r>
          </w:p>
          <w:p w14:paraId="342ED478">
            <w:pPr>
              <w:pStyle w:val="4"/>
              <w:ind w:firstLine="960"/>
              <w:jc w:val="right"/>
              <w:rPr>
                <w:highlight w:val="none"/>
              </w:rPr>
            </w:pPr>
            <w:r>
              <w:rPr>
                <w:rFonts w:ascii="仿宋_GB2312" w:hAnsi="仿宋_GB2312" w:eastAsia="仿宋_GB2312" w:cs="仿宋_GB2312"/>
                <w:highlight w:val="none"/>
              </w:rPr>
              <w:t>签约日期：</w:t>
            </w:r>
            <w:r>
              <w:rPr>
                <w:rFonts w:ascii="仿宋_GB2312" w:hAnsi="仿宋_GB2312" w:eastAsia="仿宋_GB2312" w:cs="仿宋_GB2312"/>
                <w:highlight w:val="none"/>
                <w:u w:val="single"/>
              </w:rPr>
              <w:t>　　年　　月　　日</w:t>
            </w:r>
          </w:p>
        </w:tc>
      </w:tr>
    </w:tbl>
    <w:p w14:paraId="031B9B5A">
      <w:pPr>
        <w:pStyle w:val="4"/>
        <w:ind w:firstLine="480"/>
        <w:jc w:val="left"/>
        <w:rPr>
          <w:highlight w:val="none"/>
        </w:rPr>
      </w:pPr>
      <w:r>
        <w:rPr>
          <w:rFonts w:ascii="仿宋_GB2312" w:hAnsi="仿宋_GB2312" w:eastAsia="仿宋_GB2312" w:cs="仿宋_GB2312"/>
          <w:highlight w:val="none"/>
        </w:rPr>
        <w:t>※注意：</w:t>
      </w:r>
    </w:p>
    <w:p w14:paraId="34438DFB">
      <w:pPr>
        <w:pStyle w:val="4"/>
        <w:ind w:firstLine="480"/>
        <w:jc w:val="left"/>
        <w:rPr>
          <w:highlight w:val="none"/>
        </w:rPr>
      </w:pPr>
      <w:r>
        <w:rPr>
          <w:rFonts w:ascii="仿宋_GB2312" w:hAnsi="仿宋_GB2312" w:eastAsia="仿宋_GB2312" w:cs="仿宋_GB2312"/>
          <w:highlight w:val="none"/>
        </w:rPr>
        <w:t>1.招标文件接受合同分包且投标人拟将合同分包的，应提供本协议；否则无须提供。</w:t>
      </w:r>
    </w:p>
    <w:p w14:paraId="6C26D094">
      <w:pPr>
        <w:pStyle w:val="4"/>
        <w:ind w:firstLine="480"/>
        <w:jc w:val="left"/>
        <w:rPr>
          <w:highlight w:val="none"/>
        </w:rPr>
      </w:pPr>
      <w:r>
        <w:rPr>
          <w:rFonts w:ascii="仿宋_GB2312" w:hAnsi="仿宋_GB2312" w:eastAsia="仿宋_GB2312" w:cs="仿宋_GB2312"/>
          <w:highlight w:val="none"/>
        </w:rPr>
        <w:t>2.本协议由委托代理人签字或盖章的，应按照本章载明的格式提供“单位授权书”。</w:t>
      </w:r>
    </w:p>
    <w:p w14:paraId="49D46220">
      <w:pPr>
        <w:pStyle w:val="4"/>
        <w:ind w:firstLine="480"/>
        <w:jc w:val="left"/>
        <w:rPr>
          <w:highlight w:val="none"/>
        </w:rPr>
      </w:pPr>
      <w:r>
        <w:rPr>
          <w:rFonts w:ascii="仿宋_GB2312" w:hAnsi="仿宋_GB2312" w:eastAsia="仿宋_GB2312" w:cs="仿宋_GB2312"/>
          <w:highlight w:val="none"/>
        </w:rPr>
        <w:t>3.在以合同分包形式落实中小企业预留份额项目中，投标人除了要提供《中小企业声明函》，还需提供本协议。</w:t>
      </w:r>
    </w:p>
    <w:p w14:paraId="6EC0DF6A">
      <w:pPr>
        <w:pStyle w:val="4"/>
        <w:ind w:firstLine="960"/>
        <w:jc w:val="left"/>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63CA13C6">
      <w:pPr>
        <w:pStyle w:val="4"/>
        <w:ind w:firstLine="960"/>
        <w:jc w:val="center"/>
        <w:outlineLvl w:val="3"/>
        <w:rPr>
          <w:highlight w:val="none"/>
        </w:rPr>
      </w:pPr>
      <w:r>
        <w:rPr>
          <w:rFonts w:ascii="仿宋_GB2312" w:hAnsi="仿宋_GB2312" w:eastAsia="仿宋_GB2312" w:cs="仿宋_GB2312"/>
          <w:b/>
          <w:sz w:val="24"/>
          <w:highlight w:val="none"/>
        </w:rPr>
        <w:t>二-7其他资格证明文件（若有）</w:t>
      </w:r>
    </w:p>
    <w:p w14:paraId="7F734AD2">
      <w:pPr>
        <w:pStyle w:val="4"/>
        <w:ind w:firstLine="960"/>
        <w:jc w:val="center"/>
        <w:outlineLvl w:val="3"/>
        <w:rPr>
          <w:highlight w:val="none"/>
        </w:rPr>
      </w:pPr>
      <w:r>
        <w:rPr>
          <w:rFonts w:ascii="仿宋_GB2312" w:hAnsi="仿宋_GB2312" w:eastAsia="仿宋_GB2312" w:cs="仿宋_GB2312"/>
          <w:b/>
          <w:sz w:val="24"/>
          <w:highlight w:val="none"/>
        </w:rPr>
        <w:t>二-7-①招标文件规定的其他资格证明文件（若有）</w:t>
      </w:r>
    </w:p>
    <w:p w14:paraId="0674BEBC">
      <w:pPr>
        <w:pStyle w:val="4"/>
        <w:ind w:firstLine="480"/>
        <w:jc w:val="center"/>
        <w:rPr>
          <w:highlight w:val="none"/>
        </w:rPr>
      </w:pPr>
      <w:r>
        <w:rPr>
          <w:rFonts w:ascii="仿宋_GB2312" w:hAnsi="仿宋_GB2312" w:eastAsia="仿宋_GB2312" w:cs="仿宋_GB2312"/>
          <w:highlight w:val="none"/>
        </w:rPr>
        <w:t>编制说明</w:t>
      </w:r>
    </w:p>
    <w:p w14:paraId="251977B1">
      <w:pPr>
        <w:pStyle w:val="4"/>
        <w:ind w:firstLine="480"/>
        <w:jc w:val="left"/>
        <w:rPr>
          <w:highlight w:val="none"/>
        </w:rPr>
      </w:pPr>
      <w:r>
        <w:rPr>
          <w:rFonts w:ascii="仿宋_GB2312" w:hAnsi="仿宋_GB2312" w:eastAsia="仿宋_GB2312" w:cs="仿宋_GB2312"/>
          <w:highlight w:val="none"/>
        </w:rPr>
        <w:t>除招标文件另有规定外，招标文件要求提交的除前述资格证明文件外的其他资格证明文件（若有）加盖投标人的单位公章后应在此项下提交。</w:t>
      </w:r>
    </w:p>
    <w:p w14:paraId="1F94A7B7">
      <w:pPr>
        <w:pStyle w:val="4"/>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048A3117">
      <w:pPr>
        <w:pStyle w:val="4"/>
        <w:jc w:val="center"/>
        <w:outlineLvl w:val="2"/>
        <w:rPr>
          <w:highlight w:val="none"/>
        </w:rPr>
      </w:pPr>
      <w:r>
        <w:rPr>
          <w:rFonts w:ascii="仿宋_GB2312" w:hAnsi="仿宋_GB2312" w:eastAsia="仿宋_GB2312" w:cs="仿宋_GB2312"/>
          <w:b/>
          <w:sz w:val="28"/>
          <w:highlight w:val="none"/>
        </w:rPr>
        <w:t>三、投标保证金</w:t>
      </w:r>
    </w:p>
    <w:p w14:paraId="25944089">
      <w:pPr>
        <w:pStyle w:val="4"/>
        <w:ind w:firstLine="480"/>
        <w:jc w:val="center"/>
        <w:rPr>
          <w:highlight w:val="none"/>
        </w:rPr>
      </w:pPr>
      <w:r>
        <w:rPr>
          <w:rFonts w:ascii="仿宋_GB2312" w:hAnsi="仿宋_GB2312" w:eastAsia="仿宋_GB2312" w:cs="仿宋_GB2312"/>
          <w:highlight w:val="none"/>
        </w:rPr>
        <w:t>编制说明</w:t>
      </w:r>
    </w:p>
    <w:p w14:paraId="46208999">
      <w:pPr>
        <w:pStyle w:val="4"/>
        <w:ind w:firstLine="480"/>
        <w:jc w:val="left"/>
        <w:rPr>
          <w:highlight w:val="none"/>
        </w:rPr>
      </w:pPr>
      <w:r>
        <w:rPr>
          <w:rFonts w:ascii="仿宋_GB2312" w:hAnsi="仿宋_GB2312" w:eastAsia="仿宋_GB2312" w:cs="仿宋_GB2312"/>
          <w:highlight w:val="none"/>
        </w:rPr>
        <w:t>1、在此项下提交的“投标保证金”材料可使用转账凭证复印件或从福建省政府采购网上公开信息系统中下载的有关原始页面的打印件。</w:t>
      </w:r>
    </w:p>
    <w:p w14:paraId="5471FD4B">
      <w:pPr>
        <w:pStyle w:val="4"/>
        <w:ind w:firstLine="480"/>
        <w:jc w:val="left"/>
        <w:rPr>
          <w:highlight w:val="none"/>
        </w:rPr>
      </w:pPr>
      <w:r>
        <w:rPr>
          <w:rFonts w:ascii="仿宋_GB2312" w:hAnsi="仿宋_GB2312" w:eastAsia="仿宋_GB2312" w:cs="仿宋_GB2312"/>
          <w:highlight w:val="none"/>
        </w:rPr>
        <w:t>2、投标保证金是否已提交的认定按照招标文件第三章规定执行。</w:t>
      </w:r>
    </w:p>
    <w:p w14:paraId="073901D3">
      <w:pPr>
        <w:pStyle w:val="4"/>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4B3F49E9">
      <w:pPr>
        <w:pStyle w:val="4"/>
        <w:jc w:val="center"/>
        <w:outlineLvl w:val="2"/>
        <w:rPr>
          <w:highlight w:val="none"/>
        </w:rPr>
      </w:pPr>
      <w:r>
        <w:rPr>
          <w:rFonts w:ascii="仿宋_GB2312" w:hAnsi="仿宋_GB2312" w:eastAsia="仿宋_GB2312" w:cs="仿宋_GB2312"/>
          <w:b/>
          <w:sz w:val="28"/>
          <w:highlight w:val="none"/>
        </w:rPr>
        <w:t>封面格式(报价部分)</w:t>
      </w:r>
    </w:p>
    <w:p w14:paraId="727FEE10">
      <w:pPr>
        <w:pStyle w:val="4"/>
        <w:jc w:val="center"/>
        <w:outlineLvl w:val="0"/>
        <w:rPr>
          <w:highlight w:val="none"/>
        </w:rPr>
      </w:pPr>
      <w:r>
        <w:rPr>
          <w:rFonts w:ascii="仿宋_GB2312" w:hAnsi="仿宋_GB2312" w:eastAsia="仿宋_GB2312" w:cs="仿宋_GB2312"/>
          <w:b/>
          <w:sz w:val="48"/>
          <w:highlight w:val="none"/>
        </w:rPr>
        <w:t>福建省政府采购投标文件</w:t>
      </w:r>
    </w:p>
    <w:p w14:paraId="72138556">
      <w:pPr>
        <w:pStyle w:val="4"/>
        <w:jc w:val="center"/>
        <w:outlineLvl w:val="0"/>
        <w:rPr>
          <w:highlight w:val="none"/>
        </w:rPr>
      </w:pPr>
      <w:r>
        <w:rPr>
          <w:rFonts w:ascii="仿宋_GB2312" w:hAnsi="仿宋_GB2312" w:eastAsia="仿宋_GB2312" w:cs="仿宋_GB2312"/>
          <w:b/>
          <w:sz w:val="48"/>
          <w:highlight w:val="none"/>
        </w:rPr>
        <w:t>（报价部分）</w:t>
      </w:r>
      <w:r>
        <w:rPr>
          <w:highlight w:val="none"/>
        </w:rPr>
        <w:br w:type="textWrapping"/>
      </w:r>
      <w:r>
        <w:rPr>
          <w:highlight w:val="none"/>
        </w:rPr>
        <w:br w:type="textWrapping"/>
      </w:r>
      <w:r>
        <w:rPr>
          <w:highlight w:val="none"/>
        </w:rPr>
        <w:br w:type="textWrapping"/>
      </w:r>
    </w:p>
    <w:p w14:paraId="4266D059">
      <w:pPr>
        <w:pStyle w:val="4"/>
        <w:jc w:val="center"/>
        <w:outlineLvl w:val="1"/>
        <w:rPr>
          <w:highlight w:val="none"/>
        </w:rPr>
      </w:pPr>
      <w:r>
        <w:rPr>
          <w:rFonts w:ascii="仿宋_GB2312" w:hAnsi="仿宋_GB2312" w:eastAsia="仿宋_GB2312" w:cs="仿宋_GB2312"/>
          <w:b/>
          <w:sz w:val="36"/>
          <w:highlight w:val="none"/>
        </w:rPr>
        <w:t>（填写正本或副本）</w:t>
      </w:r>
      <w:r>
        <w:rPr>
          <w:highlight w:val="none"/>
        </w:rPr>
        <w:br w:type="textWrapping"/>
      </w:r>
      <w:r>
        <w:rPr>
          <w:highlight w:val="none"/>
        </w:rPr>
        <w:br w:type="textWrapping"/>
      </w:r>
      <w:r>
        <w:rPr>
          <w:highlight w:val="none"/>
        </w:rPr>
        <w:br w:type="textWrapping"/>
      </w:r>
      <w:r>
        <w:rPr>
          <w:highlight w:val="none"/>
        </w:rPr>
        <w:br w:type="textWrapping"/>
      </w:r>
      <w:r>
        <w:rPr>
          <w:highlight w:val="none"/>
        </w:rPr>
        <w:br w:type="textWrapping"/>
      </w:r>
    </w:p>
    <w:p w14:paraId="7FCF926A">
      <w:pPr>
        <w:pStyle w:val="4"/>
        <w:jc w:val="center"/>
        <w:outlineLvl w:val="2"/>
        <w:rPr>
          <w:highlight w:val="none"/>
        </w:rPr>
      </w:pPr>
      <w:r>
        <w:rPr>
          <w:rFonts w:ascii="仿宋_GB2312" w:hAnsi="仿宋_GB2312" w:eastAsia="仿宋_GB2312" w:cs="仿宋_GB2312"/>
          <w:b/>
          <w:sz w:val="28"/>
          <w:highlight w:val="none"/>
        </w:rPr>
        <w:t>（项目名称：（由投标人填写）</w:t>
      </w:r>
    </w:p>
    <w:p w14:paraId="37D93A13">
      <w:pPr>
        <w:pStyle w:val="4"/>
        <w:jc w:val="center"/>
        <w:outlineLvl w:val="2"/>
        <w:rPr>
          <w:highlight w:val="none"/>
        </w:rPr>
      </w:pPr>
      <w:r>
        <w:rPr>
          <w:rFonts w:ascii="仿宋_GB2312" w:hAnsi="仿宋_GB2312" w:eastAsia="仿宋_GB2312" w:cs="仿宋_GB2312"/>
          <w:b/>
          <w:sz w:val="28"/>
          <w:highlight w:val="none"/>
        </w:rPr>
        <w:t>（备案编号：（由投标人填写）</w:t>
      </w:r>
    </w:p>
    <w:p w14:paraId="49146B28">
      <w:pPr>
        <w:pStyle w:val="4"/>
        <w:jc w:val="center"/>
        <w:outlineLvl w:val="2"/>
        <w:rPr>
          <w:highlight w:val="none"/>
        </w:rPr>
      </w:pPr>
      <w:r>
        <w:rPr>
          <w:rFonts w:ascii="仿宋_GB2312" w:hAnsi="仿宋_GB2312" w:eastAsia="仿宋_GB2312" w:cs="仿宋_GB2312"/>
          <w:b/>
          <w:sz w:val="28"/>
          <w:highlight w:val="none"/>
        </w:rPr>
        <w:t>（项目编号：（由投标人填写）</w:t>
      </w:r>
    </w:p>
    <w:p w14:paraId="61F874DB">
      <w:pPr>
        <w:pStyle w:val="4"/>
        <w:jc w:val="center"/>
        <w:outlineLvl w:val="2"/>
        <w:rPr>
          <w:highlight w:val="none"/>
        </w:rPr>
      </w:pPr>
      <w:r>
        <w:rPr>
          <w:rFonts w:ascii="仿宋_GB2312" w:hAnsi="仿宋_GB2312" w:eastAsia="仿宋_GB2312" w:cs="仿宋_GB2312"/>
          <w:b/>
          <w:sz w:val="28"/>
          <w:highlight w:val="none"/>
        </w:rPr>
        <w:t>（所投采购包：（由投标人填写）</w:t>
      </w:r>
      <w:r>
        <w:rPr>
          <w:highlight w:val="none"/>
        </w:rPr>
        <w:br w:type="textWrapping"/>
      </w:r>
      <w:r>
        <w:rPr>
          <w:highlight w:val="none"/>
        </w:rPr>
        <w:br w:type="textWrapping"/>
      </w:r>
    </w:p>
    <w:p w14:paraId="5DA44B5D">
      <w:pPr>
        <w:pStyle w:val="4"/>
        <w:jc w:val="center"/>
        <w:outlineLvl w:val="2"/>
        <w:rPr>
          <w:highlight w:val="none"/>
        </w:rPr>
      </w:pPr>
      <w:r>
        <w:rPr>
          <w:rFonts w:ascii="仿宋_GB2312" w:hAnsi="仿宋_GB2312" w:eastAsia="仿宋_GB2312" w:cs="仿宋_GB2312"/>
          <w:b/>
          <w:sz w:val="28"/>
          <w:highlight w:val="none"/>
        </w:rPr>
        <w:t>投标人：（填写“全称”）</w:t>
      </w:r>
    </w:p>
    <w:p w14:paraId="76A6CA84">
      <w:pPr>
        <w:pStyle w:val="4"/>
        <w:jc w:val="center"/>
        <w:outlineLvl w:val="2"/>
        <w:rPr>
          <w:highlight w:val="none"/>
        </w:rPr>
      </w:pPr>
      <w:r>
        <w:rPr>
          <w:rFonts w:ascii="仿宋_GB2312" w:hAnsi="仿宋_GB2312" w:eastAsia="仿宋_GB2312" w:cs="仿宋_GB2312"/>
          <w:b/>
          <w:sz w:val="28"/>
          <w:highlight w:val="none"/>
        </w:rPr>
        <w:t>（由投标人填写）年（由投标人填写）月</w:t>
      </w:r>
    </w:p>
    <w:p w14:paraId="6EEAAB4F">
      <w:pPr>
        <w:pStyle w:val="4"/>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56E8DA3B">
      <w:pPr>
        <w:pStyle w:val="4"/>
        <w:jc w:val="center"/>
        <w:outlineLvl w:val="2"/>
        <w:rPr>
          <w:highlight w:val="none"/>
        </w:rPr>
      </w:pPr>
      <w:r>
        <w:rPr>
          <w:rFonts w:ascii="仿宋_GB2312" w:hAnsi="仿宋_GB2312" w:eastAsia="仿宋_GB2312" w:cs="仿宋_GB2312"/>
          <w:b/>
          <w:sz w:val="28"/>
          <w:highlight w:val="none"/>
        </w:rPr>
        <w:t>索引</w:t>
      </w:r>
    </w:p>
    <w:p w14:paraId="39BF1F23">
      <w:pPr>
        <w:pStyle w:val="4"/>
        <w:ind w:firstLine="480"/>
        <w:jc w:val="left"/>
        <w:rPr>
          <w:highlight w:val="none"/>
        </w:rPr>
      </w:pPr>
      <w:r>
        <w:rPr>
          <w:rFonts w:ascii="仿宋_GB2312" w:hAnsi="仿宋_GB2312" w:eastAsia="仿宋_GB2312" w:cs="仿宋_GB2312"/>
          <w:highlight w:val="none"/>
        </w:rPr>
        <w:t>一、开标（报价）一览表</w:t>
      </w:r>
    </w:p>
    <w:p w14:paraId="0BB72B56">
      <w:pPr>
        <w:pStyle w:val="4"/>
        <w:ind w:firstLine="480"/>
        <w:jc w:val="left"/>
        <w:rPr>
          <w:highlight w:val="none"/>
        </w:rPr>
      </w:pPr>
      <w:r>
        <w:rPr>
          <w:rFonts w:ascii="仿宋_GB2312" w:hAnsi="仿宋_GB2312" w:eastAsia="仿宋_GB2312" w:cs="仿宋_GB2312"/>
          <w:highlight w:val="none"/>
        </w:rPr>
        <w:t>二、投标（响应）报价明细表</w:t>
      </w:r>
    </w:p>
    <w:p w14:paraId="3081EB06">
      <w:pPr>
        <w:pStyle w:val="4"/>
        <w:ind w:firstLine="480"/>
        <w:jc w:val="left"/>
        <w:rPr>
          <w:highlight w:val="none"/>
        </w:rPr>
      </w:pPr>
      <w:r>
        <w:rPr>
          <w:rFonts w:ascii="仿宋_GB2312" w:hAnsi="仿宋_GB2312" w:eastAsia="仿宋_GB2312" w:cs="仿宋_GB2312"/>
          <w:highlight w:val="none"/>
        </w:rPr>
        <w:t>三、招标文件规定的价格扣除证明材料（若有）</w:t>
      </w:r>
    </w:p>
    <w:p w14:paraId="7054A65D">
      <w:pPr>
        <w:pStyle w:val="4"/>
        <w:ind w:firstLine="480"/>
        <w:jc w:val="left"/>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39AD11A6">
      <w:pPr>
        <w:pStyle w:val="4"/>
        <w:jc w:val="left"/>
        <w:outlineLvl w:val="0"/>
        <w:rPr>
          <w:highlight w:val="none"/>
        </w:rPr>
      </w:pPr>
      <w:r>
        <w:rPr>
          <w:rFonts w:ascii="仿宋_GB2312" w:hAnsi="仿宋_GB2312" w:eastAsia="仿宋_GB2312" w:cs="仿宋_GB2312"/>
          <w:b/>
          <w:sz w:val="48"/>
          <w:highlight w:val="none"/>
        </w:rPr>
        <w:t>开标（报价）一览表</w:t>
      </w:r>
    </w:p>
    <w:p w14:paraId="7AA68585">
      <w:pPr>
        <w:pStyle w:val="4"/>
        <w:ind w:right="1650"/>
        <w:jc w:val="left"/>
        <w:rPr>
          <w:highlight w:val="none"/>
        </w:rPr>
      </w:pPr>
      <w:r>
        <w:rPr>
          <w:rFonts w:ascii="仿宋_GB2312" w:hAnsi="仿宋_GB2312" w:eastAsia="仿宋_GB2312" w:cs="仿宋_GB2312"/>
          <w:highlight w:val="none"/>
        </w:rPr>
        <w:t>项目编号：[350001]FJGGZY[GK]2025046</w:t>
      </w:r>
    </w:p>
    <w:p w14:paraId="0228DEF2">
      <w:pPr>
        <w:pStyle w:val="4"/>
        <w:spacing w:line="375" w:lineRule="exact"/>
        <w:jc w:val="left"/>
        <w:rPr>
          <w:highlight w:val="none"/>
        </w:rPr>
      </w:pPr>
      <w:r>
        <w:rPr>
          <w:rFonts w:ascii="仿宋_GB2312" w:hAnsi="仿宋_GB2312" w:eastAsia="仿宋_GB2312" w:cs="仿宋_GB2312"/>
          <w:highlight w:val="none"/>
        </w:rPr>
        <w:t>项目名称：福建船政交通职业学院物业管理服务项目</w:t>
      </w:r>
    </w:p>
    <w:p w14:paraId="60AC6052">
      <w:pPr>
        <w:pStyle w:val="4"/>
        <w:spacing w:line="375" w:lineRule="exact"/>
        <w:jc w:val="left"/>
        <w:rPr>
          <w:highlight w:val="none"/>
        </w:rPr>
      </w:pPr>
      <w:r>
        <w:rPr>
          <w:rFonts w:ascii="仿宋_GB2312" w:hAnsi="仿宋_GB2312" w:eastAsia="仿宋_GB2312" w:cs="仿宋_GB2312"/>
          <w:highlight w:val="none"/>
        </w:rPr>
        <w:t>采购包：1(福建船政交通职业学院物业管理服务项目)</w:t>
      </w:r>
    </w:p>
    <w:p w14:paraId="417B83B0">
      <w:pPr>
        <w:pStyle w:val="4"/>
        <w:spacing w:line="375" w:lineRule="exact"/>
        <w:jc w:val="left"/>
        <w:rPr>
          <w:highlight w:val="none"/>
        </w:rPr>
      </w:pPr>
      <w:r>
        <w:rPr>
          <w:rFonts w:ascii="仿宋_GB2312" w:hAnsi="仿宋_GB2312" w:eastAsia="仿宋_GB2312" w:cs="仿宋_GB2312"/>
          <w:highlight w:val="none"/>
        </w:rPr>
        <w:t>投标人（供应商）名称：</w:t>
      </w:r>
    </w:p>
    <w:p w14:paraId="28ACD4F8">
      <w:pPr>
        <w:pStyle w:val="4"/>
        <w:jc w:val="center"/>
        <w:rPr>
          <w:highlight w:val="none"/>
        </w:rPr>
      </w:pP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1661"/>
      </w:tblGrid>
      <w:tr w14:paraId="58F2E2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1C6789F1">
            <w:pPr>
              <w:pStyle w:val="4"/>
              <w:jc w:val="left"/>
              <w:rPr>
                <w:highlight w:val="none"/>
              </w:rPr>
            </w:pPr>
            <w:r>
              <w:rPr>
                <w:rFonts w:ascii="仿宋_GB2312" w:hAnsi="仿宋_GB2312" w:eastAsia="仿宋_GB2312" w:cs="仿宋_GB2312"/>
                <w:highlight w:val="none"/>
              </w:rPr>
              <w:t xml:space="preserve"> 序号</w:t>
            </w:r>
          </w:p>
        </w:tc>
        <w:tc>
          <w:tcPr>
            <w:tcW w:w="1661" w:type="dxa"/>
          </w:tcPr>
          <w:p w14:paraId="2614B35A">
            <w:pPr>
              <w:pStyle w:val="4"/>
              <w:jc w:val="left"/>
              <w:rPr>
                <w:highlight w:val="none"/>
              </w:rPr>
            </w:pPr>
            <w:r>
              <w:rPr>
                <w:rFonts w:ascii="仿宋_GB2312" w:hAnsi="仿宋_GB2312" w:eastAsia="仿宋_GB2312" w:cs="仿宋_GB2312"/>
                <w:highlight w:val="none"/>
              </w:rPr>
              <w:t xml:space="preserve"> 报价内容</w:t>
            </w:r>
          </w:p>
        </w:tc>
        <w:tc>
          <w:tcPr>
            <w:tcW w:w="1661" w:type="dxa"/>
          </w:tcPr>
          <w:p w14:paraId="053A99E1">
            <w:pPr>
              <w:pStyle w:val="4"/>
              <w:jc w:val="left"/>
              <w:rPr>
                <w:highlight w:val="none"/>
              </w:rPr>
            </w:pPr>
            <w:r>
              <w:rPr>
                <w:rFonts w:ascii="仿宋_GB2312" w:hAnsi="仿宋_GB2312" w:eastAsia="仿宋_GB2312" w:cs="仿宋_GB2312"/>
                <w:highlight w:val="none"/>
              </w:rPr>
              <w:t xml:space="preserve"> 最高限价</w:t>
            </w:r>
          </w:p>
        </w:tc>
        <w:tc>
          <w:tcPr>
            <w:tcW w:w="1661" w:type="dxa"/>
          </w:tcPr>
          <w:p w14:paraId="5322D4DF">
            <w:pPr>
              <w:pStyle w:val="4"/>
              <w:jc w:val="left"/>
              <w:rPr>
                <w:highlight w:val="none"/>
              </w:rPr>
            </w:pPr>
            <w:r>
              <w:rPr>
                <w:rFonts w:ascii="仿宋_GB2312" w:hAnsi="仿宋_GB2312" w:eastAsia="仿宋_GB2312" w:cs="仿宋_GB2312"/>
                <w:highlight w:val="none"/>
              </w:rPr>
              <w:t xml:space="preserve"> 响应报价</w:t>
            </w:r>
          </w:p>
        </w:tc>
        <w:tc>
          <w:tcPr>
            <w:tcW w:w="1661" w:type="dxa"/>
          </w:tcPr>
          <w:p w14:paraId="6091EFBA">
            <w:pPr>
              <w:pStyle w:val="4"/>
              <w:jc w:val="left"/>
              <w:rPr>
                <w:highlight w:val="none"/>
              </w:rPr>
            </w:pPr>
            <w:r>
              <w:rPr>
                <w:rFonts w:ascii="仿宋_GB2312" w:hAnsi="仿宋_GB2312" w:eastAsia="仿宋_GB2312" w:cs="仿宋_GB2312"/>
                <w:highlight w:val="none"/>
              </w:rPr>
              <w:t xml:space="preserve"> 价款形式</w:t>
            </w:r>
          </w:p>
        </w:tc>
      </w:tr>
      <w:tr w14:paraId="06B3EA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50736FF9">
            <w:pPr>
              <w:pStyle w:val="4"/>
              <w:jc w:val="left"/>
              <w:rPr>
                <w:highlight w:val="none"/>
              </w:rPr>
            </w:pPr>
            <w:r>
              <w:rPr>
                <w:rFonts w:ascii="仿宋_GB2312" w:hAnsi="仿宋_GB2312" w:eastAsia="仿宋_GB2312" w:cs="仿宋_GB2312"/>
                <w:highlight w:val="none"/>
              </w:rPr>
              <w:t xml:space="preserve"> 1</w:t>
            </w:r>
          </w:p>
        </w:tc>
        <w:tc>
          <w:tcPr>
            <w:tcW w:w="1661" w:type="dxa"/>
          </w:tcPr>
          <w:p w14:paraId="181924C1">
            <w:pPr>
              <w:pStyle w:val="4"/>
              <w:jc w:val="left"/>
              <w:rPr>
                <w:highlight w:val="none"/>
              </w:rPr>
            </w:pPr>
            <w:r>
              <w:rPr>
                <w:rFonts w:ascii="仿宋_GB2312" w:hAnsi="仿宋_GB2312" w:eastAsia="仿宋_GB2312" w:cs="仿宋_GB2312"/>
                <w:highlight w:val="none"/>
              </w:rPr>
              <w:t xml:space="preserve"> 福建船政交通职业学院物业管理服务项目</w:t>
            </w:r>
          </w:p>
        </w:tc>
        <w:tc>
          <w:tcPr>
            <w:tcW w:w="1661" w:type="dxa"/>
          </w:tcPr>
          <w:p w14:paraId="4A7BD0C6">
            <w:pPr>
              <w:pStyle w:val="4"/>
              <w:jc w:val="left"/>
              <w:rPr>
                <w:highlight w:val="none"/>
              </w:rPr>
            </w:pPr>
            <w:r>
              <w:rPr>
                <w:rFonts w:ascii="仿宋_GB2312" w:hAnsi="仿宋_GB2312" w:eastAsia="仿宋_GB2312" w:cs="仿宋_GB2312"/>
                <w:highlight w:val="none"/>
              </w:rPr>
              <w:t xml:space="preserve"> 6000000  元</w:t>
            </w:r>
          </w:p>
        </w:tc>
        <w:tc>
          <w:tcPr>
            <w:tcW w:w="1661" w:type="dxa"/>
          </w:tcPr>
          <w:p w14:paraId="1AA90E49">
            <w:pPr>
              <w:pStyle w:val="4"/>
              <w:jc w:val="left"/>
              <w:rPr>
                <w:highlight w:val="none"/>
              </w:rPr>
            </w:pPr>
            <w:r>
              <w:rPr>
                <w:rFonts w:ascii="仿宋_GB2312" w:hAnsi="仿宋_GB2312" w:eastAsia="仿宋_GB2312" w:cs="仿宋_GB2312"/>
                <w:highlight w:val="none"/>
              </w:rPr>
              <w:t xml:space="preserve"> 「汇总引用」  元</w:t>
            </w:r>
          </w:p>
        </w:tc>
        <w:tc>
          <w:tcPr>
            <w:tcW w:w="1661" w:type="dxa"/>
          </w:tcPr>
          <w:p w14:paraId="15697A40">
            <w:pPr>
              <w:pStyle w:val="4"/>
              <w:jc w:val="left"/>
              <w:rPr>
                <w:highlight w:val="none"/>
              </w:rPr>
            </w:pPr>
            <w:r>
              <w:rPr>
                <w:rFonts w:ascii="仿宋_GB2312" w:hAnsi="仿宋_GB2312" w:eastAsia="仿宋_GB2312" w:cs="仿宋_GB2312"/>
                <w:highlight w:val="none"/>
              </w:rPr>
              <w:t xml:space="preserve"> 总价</w:t>
            </w:r>
          </w:p>
        </w:tc>
      </w:tr>
    </w:tbl>
    <w:p w14:paraId="3559CB2C">
      <w:pPr>
        <w:pStyle w:val="4"/>
        <w:jc w:val="left"/>
        <w:rPr>
          <w:highlight w:val="none"/>
        </w:rPr>
      </w:pPr>
      <w:r>
        <w:rPr>
          <w:rFonts w:ascii="仿宋_GB2312" w:hAnsi="仿宋_GB2312" w:eastAsia="仿宋_GB2312" w:cs="仿宋_GB2312"/>
          <w:highlight w:val="none"/>
        </w:rPr>
        <w:t>备注：无</w:t>
      </w:r>
    </w:p>
    <w:p w14:paraId="1AE09149">
      <w:pPr>
        <w:pStyle w:val="4"/>
        <w:jc w:val="left"/>
        <w:rPr>
          <w:highlight w:val="none"/>
        </w:rPr>
      </w:pPr>
      <w:r>
        <w:rPr>
          <w:rFonts w:ascii="仿宋_GB2312" w:hAnsi="仿宋_GB2312" w:eastAsia="仿宋_GB2312" w:cs="仿宋_GB2312"/>
          <w:highlight w:val="none"/>
        </w:rPr>
        <w:t>时间：     年     月     日</w:t>
      </w:r>
    </w:p>
    <w:p w14:paraId="7FC08812">
      <w:pPr>
        <w:pStyle w:val="4"/>
        <w:jc w:val="left"/>
        <w:rPr>
          <w:highlight w:val="none"/>
        </w:rPr>
      </w:pPr>
      <w:r>
        <w:rPr>
          <w:rFonts w:ascii="仿宋_GB2312" w:hAnsi="仿宋_GB2312" w:eastAsia="仿宋_GB2312" w:cs="仿宋_GB2312"/>
          <w:highlight w:val="none"/>
        </w:rPr>
        <w:t xml:space="preserve">签章：                     </w:t>
      </w:r>
    </w:p>
    <w:p w14:paraId="7EB641D3">
      <w:pPr>
        <w:pStyle w:val="4"/>
        <w:jc w:val="left"/>
        <w:outlineLvl w:val="0"/>
        <w:rPr>
          <w:highlight w:val="none"/>
        </w:rPr>
      </w:pPr>
      <w:r>
        <w:rPr>
          <w:rFonts w:ascii="仿宋_GB2312" w:hAnsi="仿宋_GB2312" w:eastAsia="仿宋_GB2312" w:cs="仿宋_GB2312"/>
          <w:b/>
          <w:sz w:val="48"/>
          <w:highlight w:val="none"/>
        </w:rPr>
        <w:t>投标（响应）报价明细表</w:t>
      </w:r>
    </w:p>
    <w:p w14:paraId="58CB2EEE">
      <w:pPr>
        <w:pStyle w:val="4"/>
        <w:jc w:val="left"/>
        <w:rPr>
          <w:highlight w:val="none"/>
        </w:rPr>
      </w:pPr>
      <w:r>
        <w:rPr>
          <w:rFonts w:ascii="仿宋_GB2312" w:hAnsi="仿宋_GB2312" w:eastAsia="仿宋_GB2312" w:cs="仿宋_GB2312"/>
          <w:highlight w:val="none"/>
        </w:rPr>
        <w:t>项目编号：[350001]FJGGZY[GK]2025046</w:t>
      </w:r>
    </w:p>
    <w:p w14:paraId="16C8B05B">
      <w:pPr>
        <w:pStyle w:val="4"/>
        <w:jc w:val="left"/>
        <w:rPr>
          <w:highlight w:val="none"/>
        </w:rPr>
      </w:pPr>
      <w:r>
        <w:rPr>
          <w:rFonts w:ascii="仿宋_GB2312" w:hAnsi="仿宋_GB2312" w:eastAsia="仿宋_GB2312" w:cs="仿宋_GB2312"/>
          <w:highlight w:val="none"/>
        </w:rPr>
        <w:t>项目名称：福建船政交通职业学院物业管理服务项目</w:t>
      </w:r>
    </w:p>
    <w:p w14:paraId="72E524D2">
      <w:pPr>
        <w:pStyle w:val="4"/>
        <w:jc w:val="left"/>
        <w:rPr>
          <w:highlight w:val="none"/>
        </w:rPr>
      </w:pPr>
      <w:r>
        <w:rPr>
          <w:rFonts w:ascii="仿宋_GB2312" w:hAnsi="仿宋_GB2312" w:eastAsia="仿宋_GB2312" w:cs="仿宋_GB2312"/>
          <w:highlight w:val="none"/>
        </w:rPr>
        <w:t>采购包：福建船政交通职业学院物业管理服务项目</w:t>
      </w:r>
    </w:p>
    <w:p w14:paraId="0DB41861">
      <w:pPr>
        <w:pStyle w:val="4"/>
        <w:jc w:val="left"/>
        <w:rPr>
          <w:highlight w:val="none"/>
        </w:rPr>
      </w:pPr>
      <w:r>
        <w:rPr>
          <w:rFonts w:ascii="仿宋_GB2312" w:hAnsi="仿宋_GB2312" w:eastAsia="仿宋_GB2312" w:cs="仿宋_GB2312"/>
          <w:highlight w:val="none"/>
        </w:rPr>
        <w:t>投标人名称：</w:t>
      </w:r>
    </w:p>
    <w:p w14:paraId="7DB6CC87">
      <w:pPr>
        <w:pStyle w:val="4"/>
        <w:jc w:val="left"/>
        <w:rPr>
          <w:highlight w:val="none"/>
        </w:rPr>
      </w:pPr>
      <w:r>
        <w:rPr>
          <w:rFonts w:ascii="仿宋_GB2312" w:hAnsi="仿宋_GB2312" w:eastAsia="仿宋_GB2312" w:cs="仿宋_GB2312"/>
          <w:highlight w:val="none"/>
        </w:rPr>
        <w:t xml:space="preserve"> 物业管理服务</w:t>
      </w:r>
    </w:p>
    <w:p w14:paraId="2D559C52">
      <w:pPr>
        <w:pStyle w:val="4"/>
        <w:jc w:val="center"/>
        <w:rPr>
          <w:highlight w:val="none"/>
        </w:rPr>
      </w:pP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53"/>
        <w:gridCol w:w="753"/>
        <w:gridCol w:w="755"/>
        <w:gridCol w:w="755"/>
        <w:gridCol w:w="755"/>
        <w:gridCol w:w="755"/>
        <w:gridCol w:w="916"/>
        <w:gridCol w:w="755"/>
        <w:gridCol w:w="816"/>
        <w:gridCol w:w="754"/>
        <w:gridCol w:w="755"/>
      </w:tblGrid>
      <w:tr w14:paraId="4B81D2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55" w:type="dxa"/>
          </w:tcPr>
          <w:p w14:paraId="4A944AE3">
            <w:pPr>
              <w:pStyle w:val="4"/>
              <w:jc w:val="left"/>
              <w:rPr>
                <w:highlight w:val="none"/>
              </w:rPr>
            </w:pPr>
            <w:r>
              <w:rPr>
                <w:rFonts w:ascii="仿宋_GB2312" w:hAnsi="仿宋_GB2312" w:eastAsia="仿宋_GB2312" w:cs="仿宋_GB2312"/>
                <w:highlight w:val="none"/>
              </w:rPr>
              <w:t xml:space="preserve"> 序号</w:t>
            </w:r>
          </w:p>
        </w:tc>
        <w:tc>
          <w:tcPr>
            <w:tcW w:w="755" w:type="dxa"/>
          </w:tcPr>
          <w:p w14:paraId="7672E98B">
            <w:pPr>
              <w:pStyle w:val="4"/>
              <w:jc w:val="left"/>
              <w:rPr>
                <w:highlight w:val="none"/>
              </w:rPr>
            </w:pPr>
            <w:r>
              <w:rPr>
                <w:rFonts w:ascii="仿宋_GB2312" w:hAnsi="仿宋_GB2312" w:eastAsia="仿宋_GB2312" w:cs="仿宋_GB2312"/>
                <w:highlight w:val="none"/>
              </w:rPr>
              <w:t xml:space="preserve"> 服务名称</w:t>
            </w:r>
          </w:p>
        </w:tc>
        <w:tc>
          <w:tcPr>
            <w:tcW w:w="755" w:type="dxa"/>
          </w:tcPr>
          <w:p w14:paraId="305EC0B2">
            <w:pPr>
              <w:pStyle w:val="4"/>
              <w:jc w:val="left"/>
              <w:rPr>
                <w:highlight w:val="none"/>
              </w:rPr>
            </w:pPr>
            <w:r>
              <w:rPr>
                <w:rFonts w:ascii="仿宋_GB2312" w:hAnsi="仿宋_GB2312" w:eastAsia="仿宋_GB2312" w:cs="仿宋_GB2312"/>
                <w:highlight w:val="none"/>
              </w:rPr>
              <w:t xml:space="preserve"> 服务范围</w:t>
            </w:r>
          </w:p>
        </w:tc>
        <w:tc>
          <w:tcPr>
            <w:tcW w:w="755" w:type="dxa"/>
          </w:tcPr>
          <w:p w14:paraId="76C56C03">
            <w:pPr>
              <w:pStyle w:val="4"/>
              <w:jc w:val="left"/>
              <w:rPr>
                <w:highlight w:val="none"/>
              </w:rPr>
            </w:pPr>
            <w:r>
              <w:rPr>
                <w:rFonts w:ascii="仿宋_GB2312" w:hAnsi="仿宋_GB2312" w:eastAsia="仿宋_GB2312" w:cs="仿宋_GB2312"/>
                <w:highlight w:val="none"/>
              </w:rPr>
              <w:t xml:space="preserve"> 服务要求</w:t>
            </w:r>
          </w:p>
        </w:tc>
        <w:tc>
          <w:tcPr>
            <w:tcW w:w="755" w:type="dxa"/>
          </w:tcPr>
          <w:p w14:paraId="025CFEAD">
            <w:pPr>
              <w:pStyle w:val="4"/>
              <w:jc w:val="left"/>
              <w:rPr>
                <w:highlight w:val="none"/>
              </w:rPr>
            </w:pPr>
            <w:r>
              <w:rPr>
                <w:rFonts w:ascii="仿宋_GB2312" w:hAnsi="仿宋_GB2312" w:eastAsia="仿宋_GB2312" w:cs="仿宋_GB2312"/>
                <w:highlight w:val="none"/>
              </w:rPr>
              <w:t xml:space="preserve"> 服务时间</w:t>
            </w:r>
          </w:p>
        </w:tc>
        <w:tc>
          <w:tcPr>
            <w:tcW w:w="755" w:type="dxa"/>
          </w:tcPr>
          <w:p w14:paraId="456FD457">
            <w:pPr>
              <w:pStyle w:val="4"/>
              <w:jc w:val="left"/>
              <w:rPr>
                <w:highlight w:val="none"/>
              </w:rPr>
            </w:pPr>
            <w:r>
              <w:rPr>
                <w:rFonts w:ascii="仿宋_GB2312" w:hAnsi="仿宋_GB2312" w:eastAsia="仿宋_GB2312" w:cs="仿宋_GB2312"/>
                <w:highlight w:val="none"/>
              </w:rPr>
              <w:t xml:space="preserve"> 服务标准</w:t>
            </w:r>
          </w:p>
        </w:tc>
        <w:tc>
          <w:tcPr>
            <w:tcW w:w="755" w:type="dxa"/>
          </w:tcPr>
          <w:p w14:paraId="7C2B6FA5">
            <w:pPr>
              <w:pStyle w:val="4"/>
              <w:jc w:val="left"/>
              <w:rPr>
                <w:highlight w:val="none"/>
              </w:rPr>
            </w:pPr>
            <w:r>
              <w:rPr>
                <w:rFonts w:ascii="仿宋_GB2312" w:hAnsi="仿宋_GB2312" w:eastAsia="仿宋_GB2312" w:cs="仿宋_GB2312"/>
                <w:highlight w:val="none"/>
              </w:rPr>
              <w:t xml:space="preserve"> 最高限价</w:t>
            </w:r>
          </w:p>
        </w:tc>
        <w:tc>
          <w:tcPr>
            <w:tcW w:w="755" w:type="dxa"/>
          </w:tcPr>
          <w:p w14:paraId="500C32BE">
            <w:pPr>
              <w:pStyle w:val="4"/>
              <w:jc w:val="left"/>
              <w:rPr>
                <w:highlight w:val="none"/>
              </w:rPr>
            </w:pPr>
            <w:r>
              <w:rPr>
                <w:rFonts w:ascii="仿宋_GB2312" w:hAnsi="仿宋_GB2312" w:eastAsia="仿宋_GB2312" w:cs="仿宋_GB2312"/>
                <w:highlight w:val="none"/>
              </w:rPr>
              <w:t xml:space="preserve"> 单价</w:t>
            </w:r>
          </w:p>
        </w:tc>
        <w:tc>
          <w:tcPr>
            <w:tcW w:w="755" w:type="dxa"/>
          </w:tcPr>
          <w:p w14:paraId="4F0C000D">
            <w:pPr>
              <w:pStyle w:val="4"/>
              <w:jc w:val="left"/>
              <w:rPr>
                <w:highlight w:val="none"/>
              </w:rPr>
            </w:pPr>
            <w:r>
              <w:rPr>
                <w:rFonts w:ascii="仿宋_GB2312" w:hAnsi="仿宋_GB2312" w:eastAsia="仿宋_GB2312" w:cs="仿宋_GB2312"/>
                <w:highlight w:val="none"/>
              </w:rPr>
              <w:t xml:space="preserve"> 数量</w:t>
            </w:r>
          </w:p>
        </w:tc>
        <w:tc>
          <w:tcPr>
            <w:tcW w:w="755" w:type="dxa"/>
          </w:tcPr>
          <w:p w14:paraId="27A43C14">
            <w:pPr>
              <w:pStyle w:val="4"/>
              <w:jc w:val="left"/>
              <w:rPr>
                <w:highlight w:val="none"/>
              </w:rPr>
            </w:pPr>
            <w:r>
              <w:rPr>
                <w:rFonts w:ascii="仿宋_GB2312" w:hAnsi="仿宋_GB2312" w:eastAsia="仿宋_GB2312" w:cs="仿宋_GB2312"/>
                <w:highlight w:val="none"/>
              </w:rPr>
              <w:t xml:space="preserve"> 计量单位</w:t>
            </w:r>
          </w:p>
        </w:tc>
        <w:tc>
          <w:tcPr>
            <w:tcW w:w="755" w:type="dxa"/>
          </w:tcPr>
          <w:p w14:paraId="5414C7BB">
            <w:pPr>
              <w:pStyle w:val="4"/>
              <w:jc w:val="left"/>
              <w:rPr>
                <w:highlight w:val="none"/>
              </w:rPr>
            </w:pPr>
            <w:r>
              <w:rPr>
                <w:rFonts w:ascii="仿宋_GB2312" w:hAnsi="仿宋_GB2312" w:eastAsia="仿宋_GB2312" w:cs="仿宋_GB2312"/>
                <w:highlight w:val="none"/>
              </w:rPr>
              <w:t xml:space="preserve"> 总价</w:t>
            </w:r>
          </w:p>
        </w:tc>
      </w:tr>
      <w:tr w14:paraId="628DF9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55" w:type="dxa"/>
          </w:tcPr>
          <w:p w14:paraId="68323C20">
            <w:pPr>
              <w:pStyle w:val="4"/>
              <w:jc w:val="left"/>
              <w:rPr>
                <w:highlight w:val="none"/>
              </w:rPr>
            </w:pPr>
            <w:r>
              <w:rPr>
                <w:rFonts w:ascii="仿宋_GB2312" w:hAnsi="仿宋_GB2312" w:eastAsia="仿宋_GB2312" w:cs="仿宋_GB2312"/>
                <w:highlight w:val="none"/>
              </w:rPr>
              <w:t xml:space="preserve"> 1</w:t>
            </w:r>
          </w:p>
        </w:tc>
        <w:tc>
          <w:tcPr>
            <w:tcW w:w="755" w:type="dxa"/>
          </w:tcPr>
          <w:p w14:paraId="0CFDFD23">
            <w:pPr>
              <w:pStyle w:val="4"/>
              <w:jc w:val="left"/>
              <w:rPr>
                <w:highlight w:val="none"/>
              </w:rPr>
            </w:pPr>
            <w:r>
              <w:rPr>
                <w:rFonts w:ascii="仿宋_GB2312" w:hAnsi="仿宋_GB2312" w:eastAsia="仿宋_GB2312" w:cs="仿宋_GB2312"/>
                <w:highlight w:val="none"/>
              </w:rPr>
              <w:t xml:space="preserve"> 物业管理服务</w:t>
            </w:r>
          </w:p>
        </w:tc>
        <w:tc>
          <w:tcPr>
            <w:tcW w:w="755" w:type="dxa"/>
          </w:tcPr>
          <w:p w14:paraId="1A51A5EC">
            <w:pPr>
              <w:pStyle w:val="4"/>
              <w:jc w:val="left"/>
              <w:rPr>
                <w:highlight w:val="none"/>
              </w:rPr>
            </w:pPr>
            <w:r>
              <w:rPr>
                <w:rFonts w:ascii="仿宋_GB2312" w:hAnsi="仿宋_GB2312" w:eastAsia="仿宋_GB2312" w:cs="仿宋_GB2312"/>
                <w:highlight w:val="none"/>
              </w:rPr>
              <w:t xml:space="preserve"> {供应商响应}</w:t>
            </w:r>
          </w:p>
        </w:tc>
        <w:tc>
          <w:tcPr>
            <w:tcW w:w="755" w:type="dxa"/>
          </w:tcPr>
          <w:p w14:paraId="1C550D2E">
            <w:pPr>
              <w:pStyle w:val="4"/>
              <w:jc w:val="left"/>
              <w:rPr>
                <w:highlight w:val="none"/>
              </w:rPr>
            </w:pPr>
            <w:r>
              <w:rPr>
                <w:rFonts w:ascii="仿宋_GB2312" w:hAnsi="仿宋_GB2312" w:eastAsia="仿宋_GB2312" w:cs="仿宋_GB2312"/>
                <w:highlight w:val="none"/>
              </w:rPr>
              <w:t xml:space="preserve"> {供应商响应}</w:t>
            </w:r>
          </w:p>
        </w:tc>
        <w:tc>
          <w:tcPr>
            <w:tcW w:w="755" w:type="dxa"/>
          </w:tcPr>
          <w:p w14:paraId="28B8BEFC">
            <w:pPr>
              <w:pStyle w:val="4"/>
              <w:jc w:val="left"/>
              <w:rPr>
                <w:highlight w:val="none"/>
              </w:rPr>
            </w:pPr>
            <w:r>
              <w:rPr>
                <w:rFonts w:ascii="仿宋_GB2312" w:hAnsi="仿宋_GB2312" w:eastAsia="仿宋_GB2312" w:cs="仿宋_GB2312"/>
                <w:highlight w:val="none"/>
              </w:rPr>
              <w:t xml:space="preserve"> {供应商响应}</w:t>
            </w:r>
          </w:p>
        </w:tc>
        <w:tc>
          <w:tcPr>
            <w:tcW w:w="755" w:type="dxa"/>
          </w:tcPr>
          <w:p w14:paraId="2E43AC13">
            <w:pPr>
              <w:pStyle w:val="4"/>
              <w:jc w:val="left"/>
              <w:rPr>
                <w:highlight w:val="none"/>
              </w:rPr>
            </w:pPr>
            <w:r>
              <w:rPr>
                <w:rFonts w:ascii="仿宋_GB2312" w:hAnsi="仿宋_GB2312" w:eastAsia="仿宋_GB2312" w:cs="仿宋_GB2312"/>
                <w:highlight w:val="none"/>
              </w:rPr>
              <w:t xml:space="preserve"> {供应商响应}</w:t>
            </w:r>
          </w:p>
        </w:tc>
        <w:tc>
          <w:tcPr>
            <w:tcW w:w="755" w:type="dxa"/>
          </w:tcPr>
          <w:p w14:paraId="1A3393C2">
            <w:pPr>
              <w:pStyle w:val="4"/>
              <w:jc w:val="left"/>
              <w:rPr>
                <w:highlight w:val="none"/>
              </w:rPr>
            </w:pPr>
            <w:r>
              <w:rPr>
                <w:rFonts w:ascii="仿宋_GB2312" w:hAnsi="仿宋_GB2312" w:eastAsia="仿宋_GB2312" w:cs="仿宋_GB2312"/>
                <w:highlight w:val="none"/>
              </w:rPr>
              <w:t xml:space="preserve"> 6000000  元</w:t>
            </w:r>
          </w:p>
        </w:tc>
        <w:tc>
          <w:tcPr>
            <w:tcW w:w="755" w:type="dxa"/>
          </w:tcPr>
          <w:p w14:paraId="5D98ACDA">
            <w:pPr>
              <w:pStyle w:val="4"/>
              <w:jc w:val="left"/>
              <w:rPr>
                <w:highlight w:val="none"/>
              </w:rPr>
            </w:pPr>
            <w:r>
              <w:rPr>
                <w:rFonts w:ascii="仿宋_GB2312" w:hAnsi="仿宋_GB2312" w:eastAsia="仿宋_GB2312" w:cs="仿宋_GB2312"/>
                <w:highlight w:val="none"/>
              </w:rPr>
              <w:t xml:space="preserve"> {=总价/数量}  元</w:t>
            </w:r>
          </w:p>
        </w:tc>
        <w:tc>
          <w:tcPr>
            <w:tcW w:w="755" w:type="dxa"/>
          </w:tcPr>
          <w:p w14:paraId="3DD5CC09">
            <w:pPr>
              <w:pStyle w:val="4"/>
              <w:jc w:val="left"/>
              <w:rPr>
                <w:highlight w:val="none"/>
              </w:rPr>
            </w:pPr>
            <w:r>
              <w:rPr>
                <w:rFonts w:ascii="仿宋_GB2312" w:hAnsi="仿宋_GB2312" w:eastAsia="仿宋_GB2312" w:cs="仿宋_GB2312"/>
                <w:highlight w:val="none"/>
              </w:rPr>
              <w:t xml:space="preserve"> 1.0000</w:t>
            </w:r>
          </w:p>
        </w:tc>
        <w:tc>
          <w:tcPr>
            <w:tcW w:w="755" w:type="dxa"/>
          </w:tcPr>
          <w:p w14:paraId="44FFAD3F">
            <w:pPr>
              <w:pStyle w:val="4"/>
              <w:jc w:val="left"/>
              <w:rPr>
                <w:highlight w:val="none"/>
              </w:rPr>
            </w:pPr>
            <w:r>
              <w:rPr>
                <w:rFonts w:ascii="仿宋_GB2312" w:hAnsi="仿宋_GB2312" w:eastAsia="仿宋_GB2312" w:cs="仿宋_GB2312"/>
                <w:highlight w:val="none"/>
              </w:rPr>
              <w:t xml:space="preserve"> 年</w:t>
            </w:r>
          </w:p>
        </w:tc>
        <w:tc>
          <w:tcPr>
            <w:tcW w:w="755" w:type="dxa"/>
          </w:tcPr>
          <w:p w14:paraId="2BD2D2FD">
            <w:pPr>
              <w:pStyle w:val="4"/>
              <w:jc w:val="left"/>
              <w:rPr>
                <w:highlight w:val="none"/>
              </w:rPr>
            </w:pPr>
            <w:r>
              <w:rPr>
                <w:rFonts w:ascii="仿宋_GB2312" w:hAnsi="仿宋_GB2312" w:eastAsia="仿宋_GB2312" w:cs="仿宋_GB2312"/>
                <w:highlight w:val="none"/>
              </w:rPr>
              <w:t xml:space="preserve"> {供应商响应}  元</w:t>
            </w:r>
          </w:p>
        </w:tc>
      </w:tr>
    </w:tbl>
    <w:p w14:paraId="3F166F91">
      <w:pPr>
        <w:pStyle w:val="4"/>
        <w:jc w:val="left"/>
        <w:rPr>
          <w:highlight w:val="none"/>
        </w:rPr>
      </w:pPr>
      <w:r>
        <w:rPr>
          <w:rFonts w:ascii="仿宋_GB2312" w:hAnsi="仿宋_GB2312" w:eastAsia="仿宋_GB2312" w:cs="仿宋_GB2312"/>
          <w:highlight w:val="none"/>
        </w:rPr>
        <w:t>合计：</w:t>
      </w:r>
    </w:p>
    <w:p w14:paraId="5F5C2462">
      <w:pPr>
        <w:pStyle w:val="4"/>
        <w:jc w:val="left"/>
        <w:rPr>
          <w:highlight w:val="none"/>
        </w:rPr>
      </w:pPr>
      <w:r>
        <w:rPr>
          <w:rFonts w:ascii="仿宋_GB2312" w:hAnsi="仿宋_GB2312" w:eastAsia="仿宋_GB2312" w:cs="仿宋_GB2312"/>
          <w:highlight w:val="none"/>
        </w:rPr>
        <w:t>备注：无</w:t>
      </w:r>
    </w:p>
    <w:p w14:paraId="444C43CA">
      <w:pPr>
        <w:pStyle w:val="4"/>
        <w:jc w:val="left"/>
        <w:rPr>
          <w:highlight w:val="none"/>
        </w:rPr>
      </w:pPr>
      <w:r>
        <w:rPr>
          <w:rFonts w:ascii="仿宋_GB2312" w:hAnsi="仿宋_GB2312" w:eastAsia="仿宋_GB2312" w:cs="仿宋_GB2312"/>
          <w:highlight w:val="none"/>
        </w:rPr>
        <w:t>时间：     年     月     日</w:t>
      </w:r>
    </w:p>
    <w:p w14:paraId="520754B9">
      <w:pPr>
        <w:pStyle w:val="4"/>
        <w:jc w:val="left"/>
        <w:rPr>
          <w:highlight w:val="none"/>
        </w:rPr>
      </w:pPr>
      <w:r>
        <w:rPr>
          <w:rFonts w:ascii="仿宋_GB2312" w:hAnsi="仿宋_GB2312" w:eastAsia="仿宋_GB2312" w:cs="仿宋_GB2312"/>
          <w:highlight w:val="none"/>
        </w:rPr>
        <w:t xml:space="preserve">签章：                     </w:t>
      </w:r>
    </w:p>
    <w:p w14:paraId="4B06C59F">
      <w:pPr>
        <w:pStyle w:val="4"/>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27B96426">
      <w:pPr>
        <w:pStyle w:val="4"/>
        <w:jc w:val="center"/>
        <w:outlineLvl w:val="2"/>
        <w:rPr>
          <w:highlight w:val="none"/>
        </w:rPr>
      </w:pPr>
      <w:r>
        <w:rPr>
          <w:rFonts w:ascii="仿宋_GB2312" w:hAnsi="仿宋_GB2312" w:eastAsia="仿宋_GB2312" w:cs="仿宋_GB2312"/>
          <w:b/>
          <w:sz w:val="28"/>
          <w:highlight w:val="none"/>
        </w:rPr>
        <w:t>三、招标文件规定的价格扣除证明材料（若有）</w:t>
      </w:r>
    </w:p>
    <w:p w14:paraId="046868AB">
      <w:pPr>
        <w:pStyle w:val="4"/>
        <w:jc w:val="center"/>
        <w:outlineLvl w:val="3"/>
        <w:rPr>
          <w:highlight w:val="none"/>
        </w:rPr>
      </w:pPr>
      <w:r>
        <w:rPr>
          <w:rFonts w:ascii="仿宋_GB2312" w:hAnsi="仿宋_GB2312" w:eastAsia="仿宋_GB2312" w:cs="仿宋_GB2312"/>
          <w:b/>
          <w:sz w:val="24"/>
          <w:highlight w:val="none"/>
        </w:rPr>
        <w:t>三-1优先类节能产品、环境标志产品价格扣除证明材料（若有）</w:t>
      </w:r>
    </w:p>
    <w:p w14:paraId="7686047B">
      <w:pPr>
        <w:pStyle w:val="4"/>
        <w:jc w:val="center"/>
        <w:outlineLvl w:val="3"/>
        <w:rPr>
          <w:highlight w:val="none"/>
        </w:rPr>
      </w:pPr>
      <w:r>
        <w:rPr>
          <w:rFonts w:ascii="仿宋_GB2312" w:hAnsi="仿宋_GB2312" w:eastAsia="仿宋_GB2312" w:cs="仿宋_GB2312"/>
          <w:b/>
          <w:sz w:val="24"/>
          <w:highlight w:val="none"/>
        </w:rPr>
        <w:t>三-1-①优先类节能产品、环境标志产品统计表（价格扣除适用，若有）</w:t>
      </w:r>
    </w:p>
    <w:p w14:paraId="2B959F0A">
      <w:pPr>
        <w:pStyle w:val="4"/>
        <w:ind w:firstLine="480"/>
        <w:jc w:val="left"/>
        <w:rPr>
          <w:highlight w:val="none"/>
        </w:rPr>
      </w:pPr>
      <w:r>
        <w:rPr>
          <w:rFonts w:ascii="仿宋_GB2312" w:hAnsi="仿宋_GB2312" w:eastAsia="仿宋_GB2312" w:cs="仿宋_GB2312"/>
          <w:highlight w:val="none"/>
        </w:rPr>
        <w:t>项目编号：</w:t>
      </w:r>
      <w:r>
        <w:rPr>
          <w:rFonts w:ascii="仿宋_GB2312" w:hAnsi="仿宋_GB2312" w:eastAsia="仿宋_GB2312" w:cs="仿宋_GB2312"/>
          <w:highlight w:val="none"/>
          <w:u w:val="single"/>
        </w:rPr>
        <w:t>　　　　　　　　</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7"/>
        <w:gridCol w:w="1187"/>
        <w:gridCol w:w="1187"/>
        <w:gridCol w:w="1187"/>
        <w:gridCol w:w="3561"/>
      </w:tblGrid>
      <w:tr w14:paraId="024087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7A2884BF">
            <w:pPr>
              <w:rPr>
                <w:highlight w:val="none"/>
              </w:rPr>
            </w:pPr>
          </w:p>
        </w:tc>
        <w:tc>
          <w:tcPr>
            <w:tcW w:w="7122" w:type="dxa"/>
            <w:gridSpan w:val="4"/>
          </w:tcPr>
          <w:p w14:paraId="2B579719">
            <w:pPr>
              <w:pStyle w:val="4"/>
              <w:jc w:val="center"/>
              <w:rPr>
                <w:highlight w:val="none"/>
              </w:rPr>
            </w:pPr>
            <w:r>
              <w:rPr>
                <w:rFonts w:ascii="仿宋_GB2312" w:hAnsi="仿宋_GB2312" w:eastAsia="仿宋_GB2312" w:cs="仿宋_GB2312"/>
                <w:highlight w:val="none"/>
              </w:rPr>
              <w:t>本采购包内属于节能、环境标志产品情况</w:t>
            </w:r>
          </w:p>
        </w:tc>
      </w:tr>
      <w:tr w14:paraId="58D6A2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3561" w:type="dxa"/>
        </w:trPr>
        <w:tc>
          <w:tcPr>
            <w:tcW w:w="1187" w:type="dxa"/>
          </w:tcPr>
          <w:p w14:paraId="419AF0A5">
            <w:pPr>
              <w:pStyle w:val="4"/>
              <w:jc w:val="left"/>
              <w:rPr>
                <w:highlight w:val="none"/>
              </w:rPr>
            </w:pPr>
            <w:r>
              <w:rPr>
                <w:rFonts w:ascii="仿宋_GB2312" w:hAnsi="仿宋_GB2312" w:eastAsia="仿宋_GB2312" w:cs="仿宋_GB2312"/>
                <w:highlight w:val="none"/>
              </w:rPr>
              <w:t>采购包</w:t>
            </w:r>
          </w:p>
        </w:tc>
        <w:tc>
          <w:tcPr>
            <w:tcW w:w="1187" w:type="dxa"/>
          </w:tcPr>
          <w:p w14:paraId="1670E81B">
            <w:pPr>
              <w:pStyle w:val="4"/>
              <w:jc w:val="left"/>
              <w:rPr>
                <w:highlight w:val="none"/>
              </w:rPr>
            </w:pPr>
            <w:r>
              <w:rPr>
                <w:rFonts w:ascii="仿宋_GB2312" w:hAnsi="仿宋_GB2312" w:eastAsia="仿宋_GB2312" w:cs="仿宋_GB2312"/>
                <w:highlight w:val="none"/>
              </w:rPr>
              <w:t>品目号</w:t>
            </w:r>
          </w:p>
        </w:tc>
        <w:tc>
          <w:tcPr>
            <w:tcW w:w="1187" w:type="dxa"/>
          </w:tcPr>
          <w:p w14:paraId="552B51C4">
            <w:pPr>
              <w:pStyle w:val="4"/>
              <w:jc w:val="left"/>
              <w:rPr>
                <w:highlight w:val="none"/>
              </w:rPr>
            </w:pPr>
            <w:r>
              <w:rPr>
                <w:rFonts w:ascii="仿宋_GB2312" w:hAnsi="仿宋_GB2312" w:eastAsia="仿宋_GB2312" w:cs="仿宋_GB2312"/>
                <w:highlight w:val="none"/>
              </w:rPr>
              <w:t>产品名称</w:t>
            </w:r>
          </w:p>
        </w:tc>
        <w:tc>
          <w:tcPr>
            <w:tcW w:w="1187" w:type="dxa"/>
          </w:tcPr>
          <w:p w14:paraId="2C458C58">
            <w:pPr>
              <w:pStyle w:val="4"/>
              <w:jc w:val="left"/>
              <w:rPr>
                <w:highlight w:val="none"/>
              </w:rPr>
            </w:pPr>
            <w:r>
              <w:rPr>
                <w:rFonts w:ascii="仿宋_GB2312" w:hAnsi="仿宋_GB2312" w:eastAsia="仿宋_GB2312" w:cs="仿宋_GB2312"/>
                <w:highlight w:val="none"/>
              </w:rPr>
              <w:t>认证种类</w:t>
            </w:r>
          </w:p>
        </w:tc>
      </w:tr>
      <w:tr w14:paraId="540CEF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3561" w:type="dxa"/>
        </w:trPr>
        <w:tc>
          <w:tcPr>
            <w:tcW w:w="1187" w:type="dxa"/>
            <w:vMerge w:val="restart"/>
          </w:tcPr>
          <w:p w14:paraId="38A181B3">
            <w:pPr>
              <w:pStyle w:val="4"/>
              <w:jc w:val="left"/>
              <w:rPr>
                <w:highlight w:val="none"/>
              </w:rPr>
            </w:pPr>
            <w:r>
              <w:rPr>
                <w:rFonts w:ascii="仿宋_GB2312" w:hAnsi="仿宋_GB2312" w:eastAsia="仿宋_GB2312" w:cs="仿宋_GB2312"/>
                <w:highlight w:val="none"/>
              </w:rPr>
              <w:t>*</w:t>
            </w:r>
          </w:p>
        </w:tc>
        <w:tc>
          <w:tcPr>
            <w:tcW w:w="1187" w:type="dxa"/>
          </w:tcPr>
          <w:p w14:paraId="33F7F4B0">
            <w:pPr>
              <w:pStyle w:val="4"/>
              <w:jc w:val="left"/>
              <w:rPr>
                <w:highlight w:val="none"/>
              </w:rPr>
            </w:pPr>
            <w:r>
              <w:rPr>
                <w:rFonts w:ascii="仿宋_GB2312" w:hAnsi="仿宋_GB2312" w:eastAsia="仿宋_GB2312" w:cs="仿宋_GB2312"/>
                <w:highlight w:val="none"/>
              </w:rPr>
              <w:t>*-1</w:t>
            </w:r>
          </w:p>
        </w:tc>
        <w:tc>
          <w:tcPr>
            <w:tcW w:w="1187" w:type="dxa"/>
          </w:tcPr>
          <w:p w14:paraId="0CDF82E2">
            <w:pPr>
              <w:rPr>
                <w:highlight w:val="none"/>
              </w:rPr>
            </w:pPr>
          </w:p>
        </w:tc>
        <w:tc>
          <w:tcPr>
            <w:tcW w:w="1187" w:type="dxa"/>
          </w:tcPr>
          <w:p w14:paraId="4305B951">
            <w:pPr>
              <w:pStyle w:val="4"/>
              <w:jc w:val="left"/>
              <w:rPr>
                <w:highlight w:val="none"/>
              </w:rPr>
            </w:pPr>
            <w:r>
              <w:rPr>
                <w:rFonts w:ascii="仿宋_GB2312" w:hAnsi="仿宋_GB2312" w:eastAsia="仿宋_GB2312" w:cs="仿宋_GB2312"/>
                <w:highlight w:val="none"/>
              </w:rPr>
              <w:t>供应商自行填写种类，并上传证明附件以便评审查看</w:t>
            </w:r>
          </w:p>
        </w:tc>
      </w:tr>
      <w:tr w14:paraId="3C6ECB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3561" w:type="dxa"/>
        </w:trPr>
        <w:tc>
          <w:tcPr>
            <w:tcW w:w="1187" w:type="dxa"/>
            <w:vMerge w:val="continue"/>
          </w:tcPr>
          <w:p w14:paraId="0920FC19">
            <w:pPr>
              <w:rPr>
                <w:highlight w:val="none"/>
              </w:rPr>
            </w:pPr>
          </w:p>
        </w:tc>
        <w:tc>
          <w:tcPr>
            <w:tcW w:w="1187" w:type="dxa"/>
          </w:tcPr>
          <w:p w14:paraId="27276B84">
            <w:pPr>
              <w:pStyle w:val="4"/>
              <w:jc w:val="left"/>
              <w:rPr>
                <w:highlight w:val="none"/>
              </w:rPr>
            </w:pPr>
            <w:r>
              <w:rPr>
                <w:rFonts w:ascii="仿宋_GB2312" w:hAnsi="仿宋_GB2312" w:eastAsia="仿宋_GB2312" w:cs="仿宋_GB2312"/>
                <w:highlight w:val="none"/>
              </w:rPr>
              <w:t>…</w:t>
            </w:r>
          </w:p>
          <w:p w14:paraId="1E6BFF18">
            <w:pPr>
              <w:pStyle w:val="4"/>
              <w:jc w:val="left"/>
              <w:rPr>
                <w:highlight w:val="none"/>
              </w:rPr>
            </w:pPr>
          </w:p>
        </w:tc>
        <w:tc>
          <w:tcPr>
            <w:tcW w:w="1187" w:type="dxa"/>
          </w:tcPr>
          <w:p w14:paraId="69330D88">
            <w:pPr>
              <w:rPr>
                <w:highlight w:val="none"/>
              </w:rPr>
            </w:pPr>
          </w:p>
        </w:tc>
        <w:tc>
          <w:tcPr>
            <w:tcW w:w="1187" w:type="dxa"/>
          </w:tcPr>
          <w:p w14:paraId="513C7971">
            <w:pPr>
              <w:rPr>
                <w:highlight w:val="none"/>
              </w:rPr>
            </w:pPr>
          </w:p>
        </w:tc>
      </w:tr>
      <w:tr w14:paraId="3BB376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3561" w:type="dxa"/>
        </w:trPr>
        <w:tc>
          <w:tcPr>
            <w:tcW w:w="1187" w:type="dxa"/>
          </w:tcPr>
          <w:p w14:paraId="07B11D2E">
            <w:pPr>
              <w:pStyle w:val="4"/>
              <w:jc w:val="left"/>
              <w:rPr>
                <w:highlight w:val="none"/>
              </w:rPr>
            </w:pPr>
            <w:r>
              <w:rPr>
                <w:rFonts w:ascii="仿宋_GB2312" w:hAnsi="仿宋_GB2312" w:eastAsia="仿宋_GB2312" w:cs="仿宋_GB2312"/>
                <w:highlight w:val="none"/>
              </w:rPr>
              <w:t>备注</w:t>
            </w:r>
          </w:p>
        </w:tc>
        <w:tc>
          <w:tcPr>
            <w:tcW w:w="3561" w:type="dxa"/>
            <w:gridSpan w:val="3"/>
          </w:tcPr>
          <w:p w14:paraId="188DB27B">
            <w:pPr>
              <w:pStyle w:val="4"/>
              <w:jc w:val="left"/>
              <w:rPr>
                <w:highlight w:val="none"/>
              </w:rPr>
            </w:pPr>
          </w:p>
        </w:tc>
      </w:tr>
    </w:tbl>
    <w:p w14:paraId="49F34495">
      <w:pPr>
        <w:pStyle w:val="4"/>
        <w:jc w:val="left"/>
        <w:rPr>
          <w:highlight w:val="none"/>
        </w:rPr>
      </w:pPr>
      <w:r>
        <w:rPr>
          <w:rFonts w:ascii="仿宋_GB2312" w:hAnsi="仿宋_GB2312" w:eastAsia="仿宋_GB2312" w:cs="仿宋_GB2312"/>
          <w:highlight w:val="none"/>
        </w:rPr>
        <w:t>※注意：</w:t>
      </w:r>
    </w:p>
    <w:p w14:paraId="2E3402DD">
      <w:pPr>
        <w:pStyle w:val="4"/>
        <w:ind w:firstLine="480"/>
        <w:jc w:val="left"/>
        <w:rPr>
          <w:highlight w:val="none"/>
        </w:rPr>
      </w:pPr>
      <w:r>
        <w:rPr>
          <w:rFonts w:ascii="仿宋_GB2312" w:hAnsi="仿宋_GB2312" w:eastAsia="仿宋_GB2312" w:cs="仿宋_GB2312"/>
          <w:highlight w:val="none"/>
        </w:rPr>
        <w:t>1、对节能、环境标志产品计算价格扣除时，只依据电子投标（响应）文件“投标（响应）报价明细表”以及“优先类节能产品、环境标志产品证明材料（价格扣除适用，若有）。</w:t>
      </w:r>
    </w:p>
    <w:p w14:paraId="40FEFE63">
      <w:pPr>
        <w:pStyle w:val="4"/>
        <w:ind w:firstLine="480"/>
        <w:jc w:val="left"/>
        <w:rPr>
          <w:highlight w:val="none"/>
        </w:rPr>
      </w:pPr>
      <w:r>
        <w:rPr>
          <w:rFonts w:ascii="仿宋_GB2312" w:hAnsi="仿宋_GB2312" w:eastAsia="仿宋_GB2312" w:cs="仿宋_GB2312"/>
          <w:highlight w:val="none"/>
        </w:rPr>
        <w:t>2、本表以采购包为单位，不同采购包请分别填写；同一采购包请按照其品目号顺序分别填写。</w:t>
      </w:r>
    </w:p>
    <w:p w14:paraId="3F83BC1D">
      <w:pPr>
        <w:pStyle w:val="4"/>
        <w:ind w:firstLine="480"/>
        <w:jc w:val="left"/>
        <w:rPr>
          <w:highlight w:val="none"/>
        </w:rPr>
      </w:pPr>
      <w:r>
        <w:rPr>
          <w:rFonts w:ascii="仿宋_GB2312" w:hAnsi="仿宋_GB2312" w:eastAsia="仿宋_GB2312" w:cs="仿宋_GB2312"/>
          <w:highlight w:val="none"/>
        </w:rPr>
        <w:t>3、具体统计、计算：</w:t>
      </w:r>
    </w:p>
    <w:p w14:paraId="7F92F5FC">
      <w:pPr>
        <w:pStyle w:val="4"/>
        <w:ind w:firstLine="480"/>
        <w:jc w:val="left"/>
        <w:rPr>
          <w:highlight w:val="none"/>
        </w:rPr>
      </w:pPr>
      <w:r>
        <w:rPr>
          <w:rFonts w:ascii="仿宋_GB2312" w:hAnsi="仿宋_GB2312" w:eastAsia="仿宋_GB2312" w:cs="仿宋_GB2312"/>
          <w:highlight w:val="none"/>
        </w:rPr>
        <w:t>3.1若同一采购包内的单个或多个货物取得或同时取得节能、环境标志产品等两项或多项认证的，均按照单个货物对应一项认证的原则统计、计算1次。</w:t>
      </w:r>
    </w:p>
    <w:p w14:paraId="17636889">
      <w:pPr>
        <w:pStyle w:val="4"/>
        <w:ind w:firstLine="480"/>
        <w:jc w:val="left"/>
        <w:rPr>
          <w:highlight w:val="none"/>
        </w:rPr>
      </w:pPr>
      <w:r>
        <w:rPr>
          <w:rFonts w:ascii="仿宋_GB2312" w:hAnsi="仿宋_GB2312" w:eastAsia="仿宋_GB2312" w:cs="仿宋_GB2312"/>
          <w:highlight w:val="none"/>
        </w:rPr>
        <w:t>3.2计算结果若除不尽，可四舍五入保留到小数点后两位。</w:t>
      </w:r>
    </w:p>
    <w:p w14:paraId="1577833F">
      <w:pPr>
        <w:pStyle w:val="4"/>
        <w:ind w:firstLine="480"/>
        <w:jc w:val="left"/>
        <w:rPr>
          <w:highlight w:val="none"/>
        </w:rPr>
      </w:pPr>
      <w:r>
        <w:rPr>
          <w:rFonts w:ascii="仿宋_GB2312" w:hAnsi="仿宋_GB2312" w:eastAsia="仿宋_GB2312" w:cs="仿宋_GB2312"/>
          <w:highlight w:val="none"/>
        </w:rPr>
        <w:t>3.3投标人(供应商)按照采购文件要求认真统计、计算。</w:t>
      </w:r>
    </w:p>
    <w:p w14:paraId="57C70102">
      <w:pPr>
        <w:pStyle w:val="4"/>
        <w:ind w:firstLine="480"/>
        <w:jc w:val="left"/>
        <w:rPr>
          <w:highlight w:val="none"/>
        </w:rPr>
      </w:pPr>
      <w:r>
        <w:rPr>
          <w:rFonts w:ascii="仿宋_GB2312" w:hAnsi="仿宋_GB2312" w:eastAsia="仿宋_GB2312" w:cs="仿宋_GB2312"/>
          <w:highlight w:val="none"/>
        </w:rPr>
        <w:t>3.4若无节能、环境标志产品，不填写本表。</w:t>
      </w:r>
    </w:p>
    <w:p w14:paraId="6BC08896">
      <w:pPr>
        <w:pStyle w:val="4"/>
        <w:ind w:firstLine="480"/>
        <w:jc w:val="left"/>
        <w:rPr>
          <w:highlight w:val="none"/>
        </w:rPr>
      </w:pPr>
      <w:r>
        <w:rPr>
          <w:rFonts w:ascii="仿宋_GB2312" w:hAnsi="仿宋_GB2312" w:eastAsia="仿宋_GB2312" w:cs="仿宋_GB2312"/>
          <w:highlight w:val="none"/>
        </w:rPr>
        <w:t>3.5强制类节能产品不享受价格扣除。</w:t>
      </w:r>
    </w:p>
    <w:p w14:paraId="689C0429">
      <w:pPr>
        <w:pStyle w:val="4"/>
        <w:ind w:firstLine="480"/>
        <w:jc w:val="right"/>
        <w:rPr>
          <w:highlight w:val="none"/>
        </w:rPr>
      </w:pPr>
      <w:r>
        <w:rPr>
          <w:rFonts w:ascii="仿宋_GB2312" w:hAnsi="仿宋_GB2312" w:eastAsia="仿宋_GB2312" w:cs="仿宋_GB2312"/>
          <w:highlight w:val="none"/>
        </w:rPr>
        <w:t>投标人：</w:t>
      </w:r>
      <w:r>
        <w:rPr>
          <w:rFonts w:ascii="仿宋_GB2312" w:hAnsi="仿宋_GB2312" w:eastAsia="仿宋_GB2312" w:cs="仿宋_GB2312"/>
          <w:highlight w:val="none"/>
          <w:u w:val="single"/>
        </w:rPr>
        <w:t>（全称并加盖单位公章）</w:t>
      </w:r>
    </w:p>
    <w:p w14:paraId="2C1DD744">
      <w:pPr>
        <w:pStyle w:val="4"/>
        <w:ind w:firstLine="480"/>
        <w:jc w:val="right"/>
        <w:rPr>
          <w:highlight w:val="none"/>
        </w:rPr>
      </w:pPr>
      <w:r>
        <w:rPr>
          <w:rFonts w:ascii="仿宋_GB2312" w:hAnsi="仿宋_GB2312" w:eastAsia="仿宋_GB2312" w:cs="仿宋_GB2312"/>
          <w:highlight w:val="none"/>
        </w:rPr>
        <w:t>日期：</w:t>
      </w:r>
      <w:r>
        <w:rPr>
          <w:rFonts w:ascii="仿宋_GB2312" w:hAnsi="仿宋_GB2312" w:eastAsia="仿宋_GB2312" w:cs="仿宋_GB2312"/>
          <w:highlight w:val="none"/>
          <w:u w:val="single"/>
        </w:rPr>
        <w:t>　　年　　月　　日</w:t>
      </w:r>
    </w:p>
    <w:p w14:paraId="40CDD849">
      <w:pPr>
        <w:pStyle w:val="4"/>
        <w:jc w:val="left"/>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4851E5CA">
      <w:pPr>
        <w:pStyle w:val="4"/>
        <w:jc w:val="center"/>
        <w:outlineLvl w:val="3"/>
        <w:rPr>
          <w:highlight w:val="none"/>
        </w:rPr>
      </w:pPr>
      <w:r>
        <w:rPr>
          <w:rFonts w:ascii="仿宋_GB2312" w:hAnsi="仿宋_GB2312" w:eastAsia="仿宋_GB2312" w:cs="仿宋_GB2312"/>
          <w:b/>
          <w:sz w:val="24"/>
          <w:highlight w:val="none"/>
        </w:rPr>
        <w:t>三-1-②优先类节能产品、环境标志产品证明材料（价格扣除适用，若有）</w:t>
      </w:r>
    </w:p>
    <w:p w14:paraId="1BCD0F74">
      <w:pPr>
        <w:pStyle w:val="4"/>
        <w:jc w:val="center"/>
        <w:outlineLvl w:val="3"/>
        <w:rPr>
          <w:highlight w:val="none"/>
        </w:rPr>
      </w:pPr>
      <w:r>
        <w:rPr>
          <w:rFonts w:ascii="仿宋_GB2312" w:hAnsi="仿宋_GB2312" w:eastAsia="仿宋_GB2312" w:cs="仿宋_GB2312"/>
          <w:b/>
          <w:sz w:val="24"/>
          <w:highlight w:val="none"/>
        </w:rPr>
        <w:t>三-2小型、微型企业产品等价格扣除证明材料（若有）</w:t>
      </w:r>
    </w:p>
    <w:p w14:paraId="40CAF30C">
      <w:pPr>
        <w:pStyle w:val="4"/>
        <w:jc w:val="center"/>
        <w:outlineLvl w:val="3"/>
        <w:rPr>
          <w:highlight w:val="none"/>
        </w:rPr>
      </w:pPr>
      <w:r>
        <w:rPr>
          <w:rFonts w:ascii="仿宋_GB2312" w:hAnsi="仿宋_GB2312" w:eastAsia="仿宋_GB2312" w:cs="仿宋_GB2312"/>
          <w:b/>
          <w:sz w:val="24"/>
          <w:highlight w:val="none"/>
        </w:rPr>
        <w:t>三-2-①中小企业声明函（价格扣除适用，若有）</w:t>
      </w:r>
    </w:p>
    <w:p w14:paraId="68436813">
      <w:pPr>
        <w:pStyle w:val="4"/>
        <w:jc w:val="center"/>
        <w:outlineLvl w:val="3"/>
        <w:rPr>
          <w:highlight w:val="none"/>
        </w:rPr>
      </w:pPr>
      <w:r>
        <w:rPr>
          <w:rFonts w:ascii="仿宋_GB2312" w:hAnsi="仿宋_GB2312" w:eastAsia="仿宋_GB2312" w:cs="仿宋_GB2312"/>
          <w:b/>
          <w:sz w:val="24"/>
          <w:highlight w:val="none"/>
        </w:rPr>
        <w:t>中小企业声明函（货物）</w:t>
      </w:r>
    </w:p>
    <w:p w14:paraId="7DF87D6D">
      <w:pPr>
        <w:pStyle w:val="4"/>
        <w:ind w:firstLine="480"/>
        <w:jc w:val="left"/>
        <w:rPr>
          <w:highlight w:val="none"/>
        </w:rPr>
      </w:pPr>
      <w:r>
        <w:rPr>
          <w:rFonts w:ascii="仿宋_GB2312" w:hAnsi="仿宋_GB2312" w:eastAsia="仿宋_GB2312" w:cs="仿宋_GB2312"/>
          <w:highlight w:val="none"/>
        </w:rPr>
        <w:t>本公司（联合体）郑重声明，根据《政府采购促进中小企业发展管理办法》（财库﹝2020﹞46 号）的规定，本公司（联合体）参加</w:t>
      </w:r>
      <w:r>
        <w:rPr>
          <w:rFonts w:ascii="仿宋_GB2312" w:hAnsi="仿宋_GB2312" w:eastAsia="仿宋_GB2312" w:cs="仿宋_GB2312"/>
          <w:highlight w:val="none"/>
          <w:u w:val="single"/>
        </w:rPr>
        <w:t>（单位名称）</w:t>
      </w:r>
      <w:r>
        <w:rPr>
          <w:rFonts w:ascii="仿宋_GB2312" w:hAnsi="仿宋_GB2312" w:eastAsia="仿宋_GB2312" w:cs="仿宋_GB2312"/>
          <w:highlight w:val="none"/>
        </w:rPr>
        <w:t>的</w:t>
      </w:r>
      <w:r>
        <w:rPr>
          <w:rFonts w:ascii="仿宋_GB2312" w:hAnsi="仿宋_GB2312" w:eastAsia="仿宋_GB2312" w:cs="仿宋_GB2312"/>
          <w:highlight w:val="none"/>
          <w:u w:val="single"/>
        </w:rPr>
        <w:t>（项目名称）</w:t>
      </w:r>
      <w:r>
        <w:rPr>
          <w:rFonts w:ascii="仿宋_GB2312" w:hAnsi="仿宋_GB2312" w:eastAsia="仿宋_GB2312" w:cs="仿宋_GB2312"/>
          <w:highlight w:val="none"/>
        </w:rPr>
        <w:t>采购活动，提供的货物全部由符合政策要求的中小企业制造。相关企业（含联合体中的中小企业、签订分包意向协议的中小企业）的具体情况如下：</w:t>
      </w:r>
    </w:p>
    <w:p w14:paraId="194CB5A9">
      <w:pPr>
        <w:pStyle w:val="4"/>
        <w:ind w:firstLine="480"/>
        <w:jc w:val="left"/>
        <w:rPr>
          <w:highlight w:val="none"/>
        </w:rPr>
      </w:pPr>
      <w:r>
        <w:rPr>
          <w:rFonts w:ascii="仿宋_GB2312" w:hAnsi="仿宋_GB2312" w:eastAsia="仿宋_GB2312" w:cs="仿宋_GB2312"/>
          <w:highlight w:val="none"/>
        </w:rPr>
        <w:t>1.</w:t>
      </w:r>
      <w:r>
        <w:rPr>
          <w:rFonts w:ascii="仿宋_GB2312" w:hAnsi="仿宋_GB2312" w:eastAsia="仿宋_GB2312" w:cs="仿宋_GB2312"/>
          <w:highlight w:val="none"/>
          <w:u w:val="single"/>
        </w:rPr>
        <w:t xml:space="preserve"> （标的名称） </w:t>
      </w:r>
      <w:r>
        <w:rPr>
          <w:rFonts w:ascii="仿宋_GB2312" w:hAnsi="仿宋_GB2312" w:eastAsia="仿宋_GB2312" w:cs="仿宋_GB2312"/>
          <w:highlight w:val="none"/>
        </w:rPr>
        <w:t>，属于</w:t>
      </w:r>
      <w:r>
        <w:rPr>
          <w:rFonts w:ascii="仿宋_GB2312" w:hAnsi="仿宋_GB2312" w:eastAsia="仿宋_GB2312" w:cs="仿宋_GB2312"/>
          <w:highlight w:val="none"/>
          <w:u w:val="single"/>
        </w:rPr>
        <w:t>（采购文件中明确的所属行业）</w:t>
      </w:r>
      <w:r>
        <w:rPr>
          <w:rFonts w:ascii="仿宋_GB2312" w:hAnsi="仿宋_GB2312" w:eastAsia="仿宋_GB2312" w:cs="仿宋_GB2312"/>
          <w:highlight w:val="none"/>
        </w:rPr>
        <w:t>行业；制造商为</w:t>
      </w:r>
      <w:r>
        <w:rPr>
          <w:rFonts w:ascii="仿宋_GB2312" w:hAnsi="仿宋_GB2312" w:eastAsia="仿宋_GB2312" w:cs="仿宋_GB2312"/>
          <w:highlight w:val="none"/>
          <w:u w:val="single"/>
        </w:rPr>
        <w:t>（企业名称）</w:t>
      </w:r>
      <w:r>
        <w:rPr>
          <w:rFonts w:ascii="仿宋_GB2312" w:hAnsi="仿宋_GB2312" w:eastAsia="仿宋_GB2312" w:cs="仿宋_GB2312"/>
          <w:highlight w:val="none"/>
        </w:rPr>
        <w:t>，从业人员</w:t>
      </w:r>
      <w:r>
        <w:rPr>
          <w:rFonts w:ascii="仿宋_GB2312" w:hAnsi="仿宋_GB2312" w:eastAsia="仿宋_GB2312" w:cs="仿宋_GB2312"/>
          <w:highlight w:val="none"/>
          <w:u w:val="single"/>
        </w:rPr>
        <w:t>　　　　　</w:t>
      </w:r>
      <w:r>
        <w:rPr>
          <w:rFonts w:ascii="仿宋_GB2312" w:hAnsi="仿宋_GB2312" w:eastAsia="仿宋_GB2312" w:cs="仿宋_GB2312"/>
          <w:highlight w:val="none"/>
        </w:rPr>
        <w:t>人，营业收入为</w:t>
      </w:r>
      <w:r>
        <w:rPr>
          <w:rFonts w:ascii="仿宋_GB2312" w:hAnsi="仿宋_GB2312" w:eastAsia="仿宋_GB2312" w:cs="仿宋_GB2312"/>
          <w:highlight w:val="none"/>
          <w:u w:val="single"/>
        </w:rPr>
        <w:t>　　　　　</w:t>
      </w:r>
      <w:r>
        <w:rPr>
          <w:rFonts w:ascii="仿宋_GB2312" w:hAnsi="仿宋_GB2312" w:eastAsia="仿宋_GB2312" w:cs="仿宋_GB2312"/>
          <w:highlight w:val="none"/>
        </w:rPr>
        <w:t>万元，资产总额为</w:t>
      </w:r>
      <w:r>
        <w:rPr>
          <w:rFonts w:ascii="仿宋_GB2312" w:hAnsi="仿宋_GB2312" w:eastAsia="仿宋_GB2312" w:cs="仿宋_GB2312"/>
          <w:highlight w:val="none"/>
          <w:u w:val="single"/>
        </w:rPr>
        <w:t>　　　　　</w:t>
      </w:r>
      <w:r>
        <w:rPr>
          <w:rFonts w:ascii="仿宋_GB2312" w:hAnsi="仿宋_GB2312" w:eastAsia="仿宋_GB2312" w:cs="仿宋_GB2312"/>
          <w:highlight w:val="none"/>
        </w:rPr>
        <w:t>万元</w:t>
      </w:r>
      <w:r>
        <w:rPr>
          <w:rFonts w:ascii="仿宋_GB2312" w:hAnsi="仿宋_GB2312" w:eastAsia="仿宋_GB2312" w:cs="仿宋_GB2312"/>
          <w:sz w:val="21"/>
          <w:highlight w:val="none"/>
          <w:vertAlign w:val="superscript"/>
        </w:rPr>
        <w:t>1</w:t>
      </w:r>
      <w:r>
        <w:rPr>
          <w:rFonts w:ascii="仿宋_GB2312" w:hAnsi="仿宋_GB2312" w:eastAsia="仿宋_GB2312" w:cs="仿宋_GB2312"/>
          <w:highlight w:val="none"/>
        </w:rPr>
        <w:t>，属于</w:t>
      </w:r>
      <w:r>
        <w:rPr>
          <w:rFonts w:ascii="仿宋_GB2312" w:hAnsi="仿宋_GB2312" w:eastAsia="仿宋_GB2312" w:cs="仿宋_GB2312"/>
          <w:highlight w:val="none"/>
          <w:u w:val="single"/>
        </w:rPr>
        <w:t>（中型企业、小型企业、微型企业）</w:t>
      </w:r>
      <w:r>
        <w:rPr>
          <w:rFonts w:ascii="仿宋_GB2312" w:hAnsi="仿宋_GB2312" w:eastAsia="仿宋_GB2312" w:cs="仿宋_GB2312"/>
          <w:highlight w:val="none"/>
        </w:rPr>
        <w:t>；</w:t>
      </w:r>
    </w:p>
    <w:p w14:paraId="79E6F773">
      <w:pPr>
        <w:pStyle w:val="4"/>
        <w:ind w:firstLine="480"/>
        <w:jc w:val="left"/>
        <w:rPr>
          <w:highlight w:val="none"/>
        </w:rPr>
      </w:pPr>
      <w:r>
        <w:rPr>
          <w:rFonts w:ascii="仿宋_GB2312" w:hAnsi="仿宋_GB2312" w:eastAsia="仿宋_GB2312" w:cs="仿宋_GB2312"/>
          <w:highlight w:val="none"/>
        </w:rPr>
        <w:t>2.</w:t>
      </w:r>
      <w:r>
        <w:rPr>
          <w:rFonts w:ascii="仿宋_GB2312" w:hAnsi="仿宋_GB2312" w:eastAsia="仿宋_GB2312" w:cs="仿宋_GB2312"/>
          <w:highlight w:val="none"/>
          <w:u w:val="single"/>
        </w:rPr>
        <w:t xml:space="preserve"> （标的名称） </w:t>
      </w:r>
      <w:r>
        <w:rPr>
          <w:rFonts w:ascii="仿宋_GB2312" w:hAnsi="仿宋_GB2312" w:eastAsia="仿宋_GB2312" w:cs="仿宋_GB2312"/>
          <w:highlight w:val="none"/>
        </w:rPr>
        <w:t>，属于</w:t>
      </w:r>
      <w:r>
        <w:rPr>
          <w:rFonts w:ascii="仿宋_GB2312" w:hAnsi="仿宋_GB2312" w:eastAsia="仿宋_GB2312" w:cs="仿宋_GB2312"/>
          <w:highlight w:val="none"/>
          <w:u w:val="single"/>
        </w:rPr>
        <w:t>（采购文件中明确的所属行业）</w:t>
      </w:r>
      <w:r>
        <w:rPr>
          <w:rFonts w:ascii="仿宋_GB2312" w:hAnsi="仿宋_GB2312" w:eastAsia="仿宋_GB2312" w:cs="仿宋_GB2312"/>
          <w:highlight w:val="none"/>
        </w:rPr>
        <w:t>行业；制造商为</w:t>
      </w:r>
      <w:r>
        <w:rPr>
          <w:rFonts w:ascii="仿宋_GB2312" w:hAnsi="仿宋_GB2312" w:eastAsia="仿宋_GB2312" w:cs="仿宋_GB2312"/>
          <w:highlight w:val="none"/>
          <w:u w:val="single"/>
        </w:rPr>
        <w:t>（企业名称）</w:t>
      </w:r>
      <w:r>
        <w:rPr>
          <w:rFonts w:ascii="仿宋_GB2312" w:hAnsi="仿宋_GB2312" w:eastAsia="仿宋_GB2312" w:cs="仿宋_GB2312"/>
          <w:highlight w:val="none"/>
        </w:rPr>
        <w:t>，从业人员</w:t>
      </w:r>
      <w:r>
        <w:rPr>
          <w:rFonts w:ascii="仿宋_GB2312" w:hAnsi="仿宋_GB2312" w:eastAsia="仿宋_GB2312" w:cs="仿宋_GB2312"/>
          <w:highlight w:val="none"/>
          <w:u w:val="single"/>
        </w:rPr>
        <w:t>　　　　　</w:t>
      </w:r>
      <w:r>
        <w:rPr>
          <w:rFonts w:ascii="仿宋_GB2312" w:hAnsi="仿宋_GB2312" w:eastAsia="仿宋_GB2312" w:cs="仿宋_GB2312"/>
          <w:highlight w:val="none"/>
        </w:rPr>
        <w:t>人，营业收入为</w:t>
      </w:r>
      <w:r>
        <w:rPr>
          <w:rFonts w:ascii="仿宋_GB2312" w:hAnsi="仿宋_GB2312" w:eastAsia="仿宋_GB2312" w:cs="仿宋_GB2312"/>
          <w:highlight w:val="none"/>
          <w:u w:val="single"/>
        </w:rPr>
        <w:t>　　　　　</w:t>
      </w:r>
      <w:r>
        <w:rPr>
          <w:rFonts w:ascii="仿宋_GB2312" w:hAnsi="仿宋_GB2312" w:eastAsia="仿宋_GB2312" w:cs="仿宋_GB2312"/>
          <w:highlight w:val="none"/>
        </w:rPr>
        <w:t>万元，资产总额为</w:t>
      </w:r>
      <w:r>
        <w:rPr>
          <w:rFonts w:ascii="仿宋_GB2312" w:hAnsi="仿宋_GB2312" w:eastAsia="仿宋_GB2312" w:cs="仿宋_GB2312"/>
          <w:highlight w:val="none"/>
          <w:u w:val="single"/>
        </w:rPr>
        <w:t>　　　　　</w:t>
      </w:r>
      <w:r>
        <w:rPr>
          <w:rFonts w:ascii="仿宋_GB2312" w:hAnsi="仿宋_GB2312" w:eastAsia="仿宋_GB2312" w:cs="仿宋_GB2312"/>
          <w:highlight w:val="none"/>
        </w:rPr>
        <w:t>万元，属于</w:t>
      </w:r>
      <w:r>
        <w:rPr>
          <w:rFonts w:ascii="仿宋_GB2312" w:hAnsi="仿宋_GB2312" w:eastAsia="仿宋_GB2312" w:cs="仿宋_GB2312"/>
          <w:highlight w:val="none"/>
          <w:u w:val="single"/>
        </w:rPr>
        <w:t>（中型企业、小型企业、微型企业）</w:t>
      </w:r>
      <w:r>
        <w:rPr>
          <w:rFonts w:ascii="仿宋_GB2312" w:hAnsi="仿宋_GB2312" w:eastAsia="仿宋_GB2312" w:cs="仿宋_GB2312"/>
          <w:highlight w:val="none"/>
        </w:rPr>
        <w:t>；</w:t>
      </w:r>
    </w:p>
    <w:p w14:paraId="2052D875">
      <w:pPr>
        <w:pStyle w:val="4"/>
        <w:ind w:firstLine="480"/>
        <w:jc w:val="left"/>
        <w:rPr>
          <w:highlight w:val="none"/>
        </w:rPr>
      </w:pPr>
      <w:r>
        <w:rPr>
          <w:rFonts w:ascii="仿宋_GB2312" w:hAnsi="仿宋_GB2312" w:eastAsia="仿宋_GB2312" w:cs="仿宋_GB2312"/>
          <w:highlight w:val="none"/>
        </w:rPr>
        <w:t>……</w:t>
      </w:r>
    </w:p>
    <w:p w14:paraId="14BD65E8">
      <w:pPr>
        <w:pStyle w:val="4"/>
        <w:ind w:firstLine="480"/>
        <w:jc w:val="left"/>
        <w:rPr>
          <w:highlight w:val="none"/>
        </w:rPr>
      </w:pPr>
      <w:r>
        <w:rPr>
          <w:rFonts w:ascii="仿宋_GB2312" w:hAnsi="仿宋_GB2312" w:eastAsia="仿宋_GB2312" w:cs="仿宋_GB2312"/>
          <w:highlight w:val="none"/>
        </w:rPr>
        <w:t>以上企业，不属于大企业的分支机构，不存在控股股东为大企业的情形，也不存在与大企业的负责人为同一人的情形。</w:t>
      </w:r>
    </w:p>
    <w:p w14:paraId="2D371599">
      <w:pPr>
        <w:pStyle w:val="4"/>
        <w:ind w:firstLine="480"/>
        <w:jc w:val="left"/>
        <w:rPr>
          <w:highlight w:val="none"/>
        </w:rPr>
      </w:pPr>
      <w:r>
        <w:rPr>
          <w:rFonts w:ascii="仿宋_GB2312" w:hAnsi="仿宋_GB2312" w:eastAsia="仿宋_GB2312" w:cs="仿宋_GB2312"/>
          <w:highlight w:val="none"/>
        </w:rPr>
        <w:t>本企业对上述声明内容的真实性负责。如有虚假，将依法承担相应责任。</w:t>
      </w:r>
    </w:p>
    <w:p w14:paraId="40FA5C02">
      <w:pPr>
        <w:pStyle w:val="4"/>
        <w:ind w:firstLine="480"/>
        <w:jc w:val="right"/>
        <w:rPr>
          <w:highlight w:val="none"/>
        </w:rPr>
      </w:pPr>
      <w:r>
        <w:rPr>
          <w:rFonts w:ascii="仿宋_GB2312" w:hAnsi="仿宋_GB2312" w:eastAsia="仿宋_GB2312" w:cs="仿宋_GB2312"/>
          <w:highlight w:val="none"/>
        </w:rPr>
        <w:t>投标人：</w:t>
      </w:r>
      <w:r>
        <w:rPr>
          <w:rFonts w:ascii="仿宋_GB2312" w:hAnsi="仿宋_GB2312" w:eastAsia="仿宋_GB2312" w:cs="仿宋_GB2312"/>
          <w:highlight w:val="none"/>
          <w:u w:val="single"/>
        </w:rPr>
        <w:t>（全称并加盖单位公章）</w:t>
      </w:r>
    </w:p>
    <w:p w14:paraId="165593E0">
      <w:pPr>
        <w:pStyle w:val="4"/>
        <w:ind w:firstLine="480"/>
        <w:jc w:val="right"/>
        <w:rPr>
          <w:highlight w:val="none"/>
        </w:rPr>
      </w:pPr>
      <w:r>
        <w:rPr>
          <w:rFonts w:ascii="仿宋_GB2312" w:hAnsi="仿宋_GB2312" w:eastAsia="仿宋_GB2312" w:cs="仿宋_GB2312"/>
          <w:highlight w:val="none"/>
        </w:rPr>
        <w:t>日期：</w:t>
      </w:r>
      <w:r>
        <w:rPr>
          <w:rFonts w:ascii="仿宋_GB2312" w:hAnsi="仿宋_GB2312" w:eastAsia="仿宋_GB2312" w:cs="仿宋_GB2312"/>
          <w:highlight w:val="none"/>
          <w:u w:val="single"/>
        </w:rPr>
        <w:t>　　年　　月　　日</w:t>
      </w:r>
    </w:p>
    <w:p w14:paraId="52DA399B">
      <w:pPr>
        <w:pStyle w:val="4"/>
        <w:ind w:firstLine="480"/>
        <w:jc w:val="left"/>
        <w:rPr>
          <w:highlight w:val="none"/>
        </w:rPr>
      </w:pPr>
      <w:r>
        <w:rPr>
          <w:rFonts w:ascii="仿宋_GB2312" w:hAnsi="仿宋_GB2312" w:eastAsia="仿宋_GB2312" w:cs="仿宋_GB2312"/>
          <w:highlight w:val="none"/>
        </w:rPr>
        <w:t>※注意：</w:t>
      </w:r>
    </w:p>
    <w:p w14:paraId="7A24F55C">
      <w:pPr>
        <w:pStyle w:val="4"/>
        <w:ind w:firstLine="480"/>
        <w:jc w:val="left"/>
        <w:rPr>
          <w:highlight w:val="none"/>
        </w:rPr>
      </w:pPr>
      <w:r>
        <w:rPr>
          <w:rFonts w:ascii="仿宋_GB2312" w:hAnsi="仿宋_GB2312" w:eastAsia="仿宋_GB2312" w:cs="仿宋_GB2312"/>
          <w:highlight w:val="none"/>
        </w:rPr>
        <w:t>1、从业人员、营业收入、资产总额填报上一年度数据，无上一年度数据的新成立企业可不填报。</w:t>
      </w:r>
    </w:p>
    <w:p w14:paraId="7E152496">
      <w:pPr>
        <w:pStyle w:val="4"/>
        <w:ind w:firstLine="480"/>
        <w:jc w:val="left"/>
        <w:rPr>
          <w:highlight w:val="none"/>
        </w:rPr>
      </w:pPr>
      <w:r>
        <w:rPr>
          <w:rFonts w:ascii="仿宋_GB2312" w:hAnsi="仿宋_GB2312" w:eastAsia="仿宋_GB2312" w:cs="仿宋_GB2312"/>
          <w:highlight w:val="none"/>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2ED9DAC6">
      <w:pPr>
        <w:pStyle w:val="4"/>
        <w:ind w:firstLine="480"/>
        <w:jc w:val="left"/>
        <w:rPr>
          <w:highlight w:val="none"/>
        </w:rPr>
      </w:pPr>
      <w:r>
        <w:rPr>
          <w:rFonts w:ascii="仿宋_GB2312" w:hAnsi="仿宋_GB2312" w:eastAsia="仿宋_GB2312" w:cs="仿宋_GB2312"/>
          <w:highlight w:val="none"/>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0AFE0253">
      <w:pPr>
        <w:pStyle w:val="4"/>
        <w:jc w:val="left"/>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0BAB4556">
      <w:pPr>
        <w:pStyle w:val="4"/>
        <w:jc w:val="center"/>
        <w:outlineLvl w:val="3"/>
        <w:rPr>
          <w:highlight w:val="none"/>
        </w:rPr>
      </w:pPr>
      <w:r>
        <w:rPr>
          <w:rFonts w:ascii="仿宋_GB2312" w:hAnsi="仿宋_GB2312" w:eastAsia="仿宋_GB2312" w:cs="仿宋_GB2312"/>
          <w:b/>
          <w:sz w:val="24"/>
          <w:highlight w:val="none"/>
        </w:rPr>
        <w:t>中小企业声明函（工程、服务）</w:t>
      </w:r>
    </w:p>
    <w:p w14:paraId="29211FB8">
      <w:pPr>
        <w:pStyle w:val="4"/>
        <w:ind w:firstLine="480"/>
        <w:jc w:val="left"/>
        <w:rPr>
          <w:highlight w:val="none"/>
        </w:rPr>
      </w:pPr>
      <w:r>
        <w:rPr>
          <w:rFonts w:ascii="仿宋_GB2312" w:hAnsi="仿宋_GB2312" w:eastAsia="仿宋_GB2312" w:cs="仿宋_GB2312"/>
          <w:highlight w:val="none"/>
        </w:rPr>
        <w:t>本公司（联合体）郑重声明，根据《政府采购促进中小企业发展管理办法》（财库﹝2020﹞46 号）的规定，本公司（联合体）参加</w:t>
      </w:r>
      <w:r>
        <w:rPr>
          <w:rFonts w:ascii="仿宋_GB2312" w:hAnsi="仿宋_GB2312" w:eastAsia="仿宋_GB2312" w:cs="仿宋_GB2312"/>
          <w:highlight w:val="none"/>
          <w:u w:val="single"/>
        </w:rPr>
        <w:t>（单位名称）</w:t>
      </w:r>
      <w:r>
        <w:rPr>
          <w:rFonts w:ascii="仿宋_GB2312" w:hAnsi="仿宋_GB2312" w:eastAsia="仿宋_GB2312" w:cs="仿宋_GB2312"/>
          <w:highlight w:val="none"/>
        </w:rPr>
        <w:t>的</w:t>
      </w:r>
      <w:r>
        <w:rPr>
          <w:rFonts w:ascii="仿宋_GB2312" w:hAnsi="仿宋_GB2312" w:eastAsia="仿宋_GB2312" w:cs="仿宋_GB2312"/>
          <w:highlight w:val="none"/>
          <w:u w:val="single"/>
        </w:rPr>
        <w:t>（项目名称）</w:t>
      </w:r>
      <w:r>
        <w:rPr>
          <w:rFonts w:ascii="仿宋_GB2312" w:hAnsi="仿宋_GB2312" w:eastAsia="仿宋_GB2312" w:cs="仿宋_GB2312"/>
          <w:highlight w:val="none"/>
        </w:rPr>
        <w:t>采购活动，工程的施工单位全部为符合政策要求的中小企业（或者：服务全部由符合政策要求的中小企业承接）。相关企业（含联合体中的中小企业、签订分包意向协议的中小企业）的具体情况如下：</w:t>
      </w:r>
    </w:p>
    <w:p w14:paraId="36D734F4">
      <w:pPr>
        <w:pStyle w:val="4"/>
        <w:ind w:firstLine="480"/>
        <w:jc w:val="left"/>
        <w:rPr>
          <w:highlight w:val="none"/>
        </w:rPr>
      </w:pPr>
      <w:r>
        <w:rPr>
          <w:rFonts w:ascii="仿宋_GB2312" w:hAnsi="仿宋_GB2312" w:eastAsia="仿宋_GB2312" w:cs="仿宋_GB2312"/>
          <w:highlight w:val="none"/>
        </w:rPr>
        <w:t>1.</w:t>
      </w:r>
      <w:r>
        <w:rPr>
          <w:rFonts w:ascii="仿宋_GB2312" w:hAnsi="仿宋_GB2312" w:eastAsia="仿宋_GB2312" w:cs="仿宋_GB2312"/>
          <w:highlight w:val="none"/>
          <w:u w:val="single"/>
        </w:rPr>
        <w:t>（标的名称）</w:t>
      </w:r>
      <w:r>
        <w:rPr>
          <w:rFonts w:ascii="仿宋_GB2312" w:hAnsi="仿宋_GB2312" w:eastAsia="仿宋_GB2312" w:cs="仿宋_GB2312"/>
          <w:highlight w:val="none"/>
        </w:rPr>
        <w:t>，属于</w:t>
      </w:r>
      <w:r>
        <w:rPr>
          <w:rFonts w:ascii="仿宋_GB2312" w:hAnsi="仿宋_GB2312" w:eastAsia="仿宋_GB2312" w:cs="仿宋_GB2312"/>
          <w:highlight w:val="none"/>
          <w:u w:val="single"/>
        </w:rPr>
        <w:t>（采购文件中明确的所属行业）</w:t>
      </w:r>
      <w:r>
        <w:rPr>
          <w:rFonts w:ascii="仿宋_GB2312" w:hAnsi="仿宋_GB2312" w:eastAsia="仿宋_GB2312" w:cs="仿宋_GB2312"/>
          <w:highlight w:val="none"/>
        </w:rPr>
        <w:t>；承建（承接）企业为</w:t>
      </w:r>
      <w:r>
        <w:rPr>
          <w:rFonts w:ascii="仿宋_GB2312" w:hAnsi="仿宋_GB2312" w:eastAsia="仿宋_GB2312" w:cs="仿宋_GB2312"/>
          <w:highlight w:val="none"/>
          <w:u w:val="single"/>
        </w:rPr>
        <w:t>（企业名称）</w:t>
      </w:r>
      <w:r>
        <w:rPr>
          <w:rFonts w:ascii="仿宋_GB2312" w:hAnsi="仿宋_GB2312" w:eastAsia="仿宋_GB2312" w:cs="仿宋_GB2312"/>
          <w:highlight w:val="none"/>
        </w:rPr>
        <w:t>，从业人员</w:t>
      </w:r>
      <w:r>
        <w:rPr>
          <w:rFonts w:ascii="仿宋_GB2312" w:hAnsi="仿宋_GB2312" w:eastAsia="仿宋_GB2312" w:cs="仿宋_GB2312"/>
          <w:highlight w:val="none"/>
          <w:u w:val="single"/>
        </w:rPr>
        <w:t>　　　　　</w:t>
      </w:r>
      <w:r>
        <w:rPr>
          <w:rFonts w:ascii="仿宋_GB2312" w:hAnsi="仿宋_GB2312" w:eastAsia="仿宋_GB2312" w:cs="仿宋_GB2312"/>
          <w:highlight w:val="none"/>
        </w:rPr>
        <w:t>人，营业收入为</w:t>
      </w:r>
      <w:r>
        <w:rPr>
          <w:rFonts w:ascii="仿宋_GB2312" w:hAnsi="仿宋_GB2312" w:eastAsia="仿宋_GB2312" w:cs="仿宋_GB2312"/>
          <w:highlight w:val="none"/>
          <w:u w:val="single"/>
        </w:rPr>
        <w:t>　　　　　</w:t>
      </w:r>
      <w:r>
        <w:rPr>
          <w:rFonts w:ascii="仿宋_GB2312" w:hAnsi="仿宋_GB2312" w:eastAsia="仿宋_GB2312" w:cs="仿宋_GB2312"/>
          <w:highlight w:val="none"/>
        </w:rPr>
        <w:t>万元，资产总额为</w:t>
      </w:r>
      <w:r>
        <w:rPr>
          <w:rFonts w:ascii="仿宋_GB2312" w:hAnsi="仿宋_GB2312" w:eastAsia="仿宋_GB2312" w:cs="仿宋_GB2312"/>
          <w:highlight w:val="none"/>
          <w:u w:val="single"/>
        </w:rPr>
        <w:t>　　　　　</w:t>
      </w:r>
      <w:r>
        <w:rPr>
          <w:rFonts w:ascii="仿宋_GB2312" w:hAnsi="仿宋_GB2312" w:eastAsia="仿宋_GB2312" w:cs="仿宋_GB2312"/>
          <w:highlight w:val="none"/>
        </w:rPr>
        <w:t>万元</w:t>
      </w:r>
      <w:r>
        <w:rPr>
          <w:rFonts w:ascii="仿宋_GB2312" w:hAnsi="仿宋_GB2312" w:eastAsia="仿宋_GB2312" w:cs="仿宋_GB2312"/>
          <w:sz w:val="21"/>
          <w:highlight w:val="none"/>
          <w:vertAlign w:val="superscript"/>
        </w:rPr>
        <w:t>1</w:t>
      </w:r>
      <w:r>
        <w:rPr>
          <w:rFonts w:ascii="仿宋_GB2312" w:hAnsi="仿宋_GB2312" w:eastAsia="仿宋_GB2312" w:cs="仿宋_GB2312"/>
          <w:highlight w:val="none"/>
        </w:rPr>
        <w:t>，属于</w:t>
      </w:r>
      <w:r>
        <w:rPr>
          <w:rFonts w:ascii="仿宋_GB2312" w:hAnsi="仿宋_GB2312" w:eastAsia="仿宋_GB2312" w:cs="仿宋_GB2312"/>
          <w:highlight w:val="none"/>
          <w:u w:val="single"/>
        </w:rPr>
        <w:t>（中型企业、小型企业、微型企业）</w:t>
      </w:r>
      <w:r>
        <w:rPr>
          <w:rFonts w:ascii="仿宋_GB2312" w:hAnsi="仿宋_GB2312" w:eastAsia="仿宋_GB2312" w:cs="仿宋_GB2312"/>
          <w:highlight w:val="none"/>
        </w:rPr>
        <w:t>；</w:t>
      </w:r>
    </w:p>
    <w:p w14:paraId="668D7456">
      <w:pPr>
        <w:pStyle w:val="4"/>
        <w:ind w:firstLine="480"/>
        <w:jc w:val="left"/>
        <w:rPr>
          <w:highlight w:val="none"/>
        </w:rPr>
      </w:pPr>
      <w:r>
        <w:rPr>
          <w:rFonts w:ascii="仿宋_GB2312" w:hAnsi="仿宋_GB2312" w:eastAsia="仿宋_GB2312" w:cs="仿宋_GB2312"/>
          <w:highlight w:val="none"/>
        </w:rPr>
        <w:t>2.</w:t>
      </w:r>
      <w:r>
        <w:rPr>
          <w:rFonts w:ascii="仿宋_GB2312" w:hAnsi="仿宋_GB2312" w:eastAsia="仿宋_GB2312" w:cs="仿宋_GB2312"/>
          <w:highlight w:val="none"/>
          <w:u w:val="single"/>
        </w:rPr>
        <w:t>（标的名称）</w:t>
      </w:r>
      <w:r>
        <w:rPr>
          <w:rFonts w:ascii="仿宋_GB2312" w:hAnsi="仿宋_GB2312" w:eastAsia="仿宋_GB2312" w:cs="仿宋_GB2312"/>
          <w:highlight w:val="none"/>
        </w:rPr>
        <w:t>，属于</w:t>
      </w:r>
      <w:r>
        <w:rPr>
          <w:rFonts w:ascii="仿宋_GB2312" w:hAnsi="仿宋_GB2312" w:eastAsia="仿宋_GB2312" w:cs="仿宋_GB2312"/>
          <w:highlight w:val="none"/>
          <w:u w:val="single"/>
        </w:rPr>
        <w:t>（采购文件中明确的所属行业）</w:t>
      </w:r>
      <w:r>
        <w:rPr>
          <w:rFonts w:ascii="仿宋_GB2312" w:hAnsi="仿宋_GB2312" w:eastAsia="仿宋_GB2312" w:cs="仿宋_GB2312"/>
          <w:highlight w:val="none"/>
        </w:rPr>
        <w:t>；承建（承接）企业为</w:t>
      </w:r>
      <w:r>
        <w:rPr>
          <w:rFonts w:ascii="仿宋_GB2312" w:hAnsi="仿宋_GB2312" w:eastAsia="仿宋_GB2312" w:cs="仿宋_GB2312"/>
          <w:highlight w:val="none"/>
          <w:u w:val="single"/>
        </w:rPr>
        <w:t>（企业名称）</w:t>
      </w:r>
      <w:r>
        <w:rPr>
          <w:rFonts w:ascii="仿宋_GB2312" w:hAnsi="仿宋_GB2312" w:eastAsia="仿宋_GB2312" w:cs="仿宋_GB2312"/>
          <w:highlight w:val="none"/>
        </w:rPr>
        <w:t>，从业人员</w:t>
      </w:r>
      <w:r>
        <w:rPr>
          <w:rFonts w:ascii="仿宋_GB2312" w:hAnsi="仿宋_GB2312" w:eastAsia="仿宋_GB2312" w:cs="仿宋_GB2312"/>
          <w:highlight w:val="none"/>
          <w:u w:val="single"/>
        </w:rPr>
        <w:t>　　　　　</w:t>
      </w:r>
      <w:r>
        <w:rPr>
          <w:rFonts w:ascii="仿宋_GB2312" w:hAnsi="仿宋_GB2312" w:eastAsia="仿宋_GB2312" w:cs="仿宋_GB2312"/>
          <w:highlight w:val="none"/>
        </w:rPr>
        <w:t>人，营业收入为</w:t>
      </w:r>
      <w:r>
        <w:rPr>
          <w:rFonts w:ascii="仿宋_GB2312" w:hAnsi="仿宋_GB2312" w:eastAsia="仿宋_GB2312" w:cs="仿宋_GB2312"/>
          <w:highlight w:val="none"/>
          <w:u w:val="single"/>
        </w:rPr>
        <w:t>　　　　　</w:t>
      </w:r>
      <w:r>
        <w:rPr>
          <w:rFonts w:ascii="仿宋_GB2312" w:hAnsi="仿宋_GB2312" w:eastAsia="仿宋_GB2312" w:cs="仿宋_GB2312"/>
          <w:highlight w:val="none"/>
        </w:rPr>
        <w:t>万元，资产总额为</w:t>
      </w:r>
      <w:r>
        <w:rPr>
          <w:rFonts w:ascii="仿宋_GB2312" w:hAnsi="仿宋_GB2312" w:eastAsia="仿宋_GB2312" w:cs="仿宋_GB2312"/>
          <w:highlight w:val="none"/>
          <w:u w:val="single"/>
        </w:rPr>
        <w:t>　　　　　</w:t>
      </w:r>
      <w:r>
        <w:rPr>
          <w:rFonts w:ascii="仿宋_GB2312" w:hAnsi="仿宋_GB2312" w:eastAsia="仿宋_GB2312" w:cs="仿宋_GB2312"/>
          <w:highlight w:val="none"/>
        </w:rPr>
        <w:t>万元，属于</w:t>
      </w:r>
      <w:r>
        <w:rPr>
          <w:rFonts w:ascii="仿宋_GB2312" w:hAnsi="仿宋_GB2312" w:eastAsia="仿宋_GB2312" w:cs="仿宋_GB2312"/>
          <w:highlight w:val="none"/>
          <w:u w:val="single"/>
        </w:rPr>
        <w:t>（中型企业、小型企业、微型企业）</w:t>
      </w:r>
      <w:r>
        <w:rPr>
          <w:rFonts w:ascii="仿宋_GB2312" w:hAnsi="仿宋_GB2312" w:eastAsia="仿宋_GB2312" w:cs="仿宋_GB2312"/>
          <w:highlight w:val="none"/>
        </w:rPr>
        <w:t>；</w:t>
      </w:r>
    </w:p>
    <w:p w14:paraId="2CEE1F11">
      <w:pPr>
        <w:pStyle w:val="4"/>
        <w:ind w:firstLine="480"/>
        <w:jc w:val="left"/>
        <w:rPr>
          <w:highlight w:val="none"/>
        </w:rPr>
      </w:pPr>
      <w:r>
        <w:rPr>
          <w:rFonts w:ascii="仿宋_GB2312" w:hAnsi="仿宋_GB2312" w:eastAsia="仿宋_GB2312" w:cs="仿宋_GB2312"/>
          <w:highlight w:val="none"/>
        </w:rPr>
        <w:t>……</w:t>
      </w:r>
    </w:p>
    <w:p w14:paraId="0B416BDF">
      <w:pPr>
        <w:pStyle w:val="4"/>
        <w:ind w:firstLine="480"/>
        <w:jc w:val="left"/>
        <w:rPr>
          <w:highlight w:val="none"/>
        </w:rPr>
      </w:pPr>
      <w:r>
        <w:rPr>
          <w:rFonts w:ascii="仿宋_GB2312" w:hAnsi="仿宋_GB2312" w:eastAsia="仿宋_GB2312" w:cs="仿宋_GB2312"/>
          <w:highlight w:val="none"/>
        </w:rPr>
        <w:t>以上企业，不属于大企业的分支机构，不存在控股股东为大企业的情形，也不存在与大企业的负责人为同一人的情形。</w:t>
      </w:r>
    </w:p>
    <w:p w14:paraId="58F8B0DA">
      <w:pPr>
        <w:pStyle w:val="4"/>
        <w:ind w:firstLine="480"/>
        <w:jc w:val="left"/>
        <w:rPr>
          <w:highlight w:val="none"/>
        </w:rPr>
      </w:pPr>
      <w:r>
        <w:rPr>
          <w:rFonts w:ascii="仿宋_GB2312" w:hAnsi="仿宋_GB2312" w:eastAsia="仿宋_GB2312" w:cs="仿宋_GB2312"/>
          <w:highlight w:val="none"/>
        </w:rPr>
        <w:t>本企业对上述声明内容的真实性负责。如有虚假，将依法承担相应责任。</w:t>
      </w:r>
    </w:p>
    <w:p w14:paraId="7C7A43A7">
      <w:pPr>
        <w:pStyle w:val="4"/>
        <w:ind w:firstLine="480"/>
        <w:jc w:val="right"/>
        <w:rPr>
          <w:highlight w:val="none"/>
        </w:rPr>
      </w:pPr>
      <w:r>
        <w:rPr>
          <w:rFonts w:ascii="仿宋_GB2312" w:hAnsi="仿宋_GB2312" w:eastAsia="仿宋_GB2312" w:cs="仿宋_GB2312"/>
          <w:highlight w:val="none"/>
        </w:rPr>
        <w:t>投标人：</w:t>
      </w:r>
      <w:r>
        <w:rPr>
          <w:rFonts w:ascii="仿宋_GB2312" w:hAnsi="仿宋_GB2312" w:eastAsia="仿宋_GB2312" w:cs="仿宋_GB2312"/>
          <w:highlight w:val="none"/>
          <w:u w:val="single"/>
        </w:rPr>
        <w:t>（全称并加盖单位公章）</w:t>
      </w:r>
    </w:p>
    <w:p w14:paraId="12B7016C">
      <w:pPr>
        <w:pStyle w:val="4"/>
        <w:ind w:firstLine="480"/>
        <w:jc w:val="right"/>
        <w:rPr>
          <w:highlight w:val="none"/>
        </w:rPr>
      </w:pPr>
      <w:r>
        <w:rPr>
          <w:rFonts w:ascii="仿宋_GB2312" w:hAnsi="仿宋_GB2312" w:eastAsia="仿宋_GB2312" w:cs="仿宋_GB2312"/>
          <w:highlight w:val="none"/>
        </w:rPr>
        <w:t>日期：</w:t>
      </w:r>
      <w:r>
        <w:rPr>
          <w:rFonts w:ascii="仿宋_GB2312" w:hAnsi="仿宋_GB2312" w:eastAsia="仿宋_GB2312" w:cs="仿宋_GB2312"/>
          <w:highlight w:val="none"/>
          <w:u w:val="single"/>
        </w:rPr>
        <w:t>　　年　　月　　日</w:t>
      </w:r>
    </w:p>
    <w:p w14:paraId="654B2BB2">
      <w:pPr>
        <w:pStyle w:val="4"/>
        <w:ind w:firstLine="480"/>
        <w:jc w:val="left"/>
        <w:rPr>
          <w:highlight w:val="none"/>
        </w:rPr>
      </w:pPr>
      <w:r>
        <w:rPr>
          <w:rFonts w:ascii="仿宋_GB2312" w:hAnsi="仿宋_GB2312" w:eastAsia="仿宋_GB2312" w:cs="仿宋_GB2312"/>
          <w:highlight w:val="none"/>
        </w:rPr>
        <w:t>※注意：</w:t>
      </w:r>
    </w:p>
    <w:p w14:paraId="7290FB2A">
      <w:pPr>
        <w:pStyle w:val="4"/>
        <w:ind w:firstLine="480"/>
        <w:jc w:val="left"/>
        <w:rPr>
          <w:highlight w:val="none"/>
        </w:rPr>
      </w:pPr>
      <w:r>
        <w:rPr>
          <w:rFonts w:ascii="仿宋_GB2312" w:hAnsi="仿宋_GB2312" w:eastAsia="仿宋_GB2312" w:cs="仿宋_GB2312"/>
          <w:highlight w:val="none"/>
        </w:rPr>
        <w:t>1、从业人员、营业收入、资产总额填报上一年度数据，无上一年度数据的新成立企业可不填报。</w:t>
      </w:r>
    </w:p>
    <w:p w14:paraId="1AEDC8F5">
      <w:pPr>
        <w:pStyle w:val="4"/>
        <w:ind w:firstLine="480"/>
        <w:jc w:val="left"/>
        <w:rPr>
          <w:highlight w:val="none"/>
        </w:rPr>
      </w:pPr>
      <w:r>
        <w:rPr>
          <w:rFonts w:ascii="仿宋_GB2312" w:hAnsi="仿宋_GB2312" w:eastAsia="仿宋_GB2312" w:cs="仿宋_GB2312"/>
          <w:highlight w:val="none"/>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6C11DCB4">
      <w:pPr>
        <w:pStyle w:val="4"/>
        <w:ind w:firstLine="480"/>
        <w:jc w:val="left"/>
        <w:rPr>
          <w:highlight w:val="none"/>
        </w:rPr>
      </w:pPr>
      <w:r>
        <w:rPr>
          <w:rFonts w:ascii="仿宋_GB2312" w:hAnsi="仿宋_GB2312" w:eastAsia="仿宋_GB2312" w:cs="仿宋_GB2312"/>
          <w:highlight w:val="none"/>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101CC12C">
      <w:pPr>
        <w:pStyle w:val="4"/>
        <w:jc w:val="left"/>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07EE1827">
      <w:pPr>
        <w:pStyle w:val="4"/>
        <w:jc w:val="center"/>
        <w:outlineLvl w:val="3"/>
        <w:rPr>
          <w:highlight w:val="none"/>
        </w:rPr>
      </w:pPr>
      <w:r>
        <w:rPr>
          <w:rFonts w:ascii="仿宋_GB2312" w:hAnsi="仿宋_GB2312" w:eastAsia="仿宋_GB2312" w:cs="仿宋_GB2312"/>
          <w:b/>
          <w:sz w:val="24"/>
          <w:highlight w:val="none"/>
        </w:rPr>
        <w:t>三-2-②小型、微型企业等证明材料（价格扣除适用，若有）</w:t>
      </w:r>
    </w:p>
    <w:p w14:paraId="7CB2B318">
      <w:pPr>
        <w:pStyle w:val="4"/>
        <w:ind w:firstLine="480"/>
        <w:jc w:val="center"/>
        <w:rPr>
          <w:highlight w:val="none"/>
        </w:rPr>
      </w:pPr>
      <w:r>
        <w:rPr>
          <w:rFonts w:ascii="仿宋_GB2312" w:hAnsi="仿宋_GB2312" w:eastAsia="仿宋_GB2312" w:cs="仿宋_GB2312"/>
          <w:highlight w:val="none"/>
        </w:rPr>
        <w:t>编制说明</w:t>
      </w:r>
    </w:p>
    <w:p w14:paraId="43C74BBC">
      <w:pPr>
        <w:pStyle w:val="4"/>
        <w:ind w:firstLine="480"/>
        <w:jc w:val="left"/>
        <w:rPr>
          <w:highlight w:val="none"/>
        </w:rPr>
      </w:pPr>
      <w:r>
        <w:rPr>
          <w:rFonts w:ascii="仿宋_GB2312" w:hAnsi="仿宋_GB2312" w:eastAsia="仿宋_GB2312" w:cs="仿宋_GB2312"/>
          <w:highlight w:val="none"/>
        </w:rPr>
        <w:t>1、投标人为监狱企业的，根据其提供的由省级以上监狱管理局、戒毒管理局（含新疆生产建设兵团）出具的属于监狱企业的证明文件进行认定，监狱企业视同小型、微型企业。</w:t>
      </w:r>
    </w:p>
    <w:p w14:paraId="2CC69246">
      <w:pPr>
        <w:pStyle w:val="4"/>
        <w:ind w:firstLine="480"/>
        <w:jc w:val="left"/>
        <w:rPr>
          <w:highlight w:val="none"/>
        </w:rPr>
      </w:pPr>
      <w:r>
        <w:rPr>
          <w:rFonts w:ascii="仿宋_GB2312" w:hAnsi="仿宋_GB2312" w:eastAsia="仿宋_GB2312" w:cs="仿宋_GB2312"/>
          <w:highlight w:val="none"/>
        </w:rPr>
        <w:t>2、投标人为残疾人福利性单位的，根据其提供的《残疾人福利性单位声明函》（格式附后）进行认定，残疾人福利性单位视同小型、微型企业。残疾人福利性单位属于小型、微型企业的，不重复享受政策。</w:t>
      </w:r>
    </w:p>
    <w:p w14:paraId="5C201D41">
      <w:pPr>
        <w:pStyle w:val="4"/>
        <w:ind w:firstLine="480"/>
        <w:jc w:val="left"/>
        <w:rPr>
          <w:highlight w:val="none"/>
        </w:rPr>
      </w:pPr>
      <w:r>
        <w:rPr>
          <w:rFonts w:ascii="仿宋_GB2312" w:hAnsi="仿宋_GB2312" w:eastAsia="仿宋_GB2312" w:cs="仿宋_GB2312"/>
          <w:highlight w:val="none"/>
        </w:rPr>
        <w:t>附：</w:t>
      </w:r>
    </w:p>
    <w:p w14:paraId="5C0AED84">
      <w:pPr>
        <w:pStyle w:val="4"/>
        <w:jc w:val="center"/>
        <w:outlineLvl w:val="3"/>
        <w:rPr>
          <w:highlight w:val="none"/>
        </w:rPr>
      </w:pPr>
      <w:r>
        <w:rPr>
          <w:rFonts w:ascii="仿宋_GB2312" w:hAnsi="仿宋_GB2312" w:eastAsia="仿宋_GB2312" w:cs="仿宋_GB2312"/>
          <w:b/>
          <w:sz w:val="24"/>
          <w:highlight w:val="none"/>
        </w:rPr>
        <w:t>残疾人福利性单位声明函（价格扣除适用，若有）</w:t>
      </w:r>
    </w:p>
    <w:p w14:paraId="37F3A88E">
      <w:pPr>
        <w:pStyle w:val="4"/>
        <w:ind w:firstLine="480"/>
        <w:jc w:val="left"/>
        <w:rPr>
          <w:highlight w:val="none"/>
        </w:rPr>
      </w:pPr>
      <w:r>
        <w:rPr>
          <w:rFonts w:ascii="仿宋_GB2312" w:hAnsi="仿宋_GB2312" w:eastAsia="仿宋_GB2312" w:cs="仿宋_GB2312"/>
          <w:highlight w:val="none"/>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14:paraId="37411D17">
      <w:pPr>
        <w:pStyle w:val="4"/>
        <w:ind w:firstLine="480"/>
        <w:jc w:val="left"/>
        <w:rPr>
          <w:highlight w:val="none"/>
        </w:rPr>
      </w:pPr>
      <w:r>
        <w:rPr>
          <w:rFonts w:ascii="仿宋_GB2312" w:hAnsi="仿宋_GB2312" w:eastAsia="仿宋_GB2312" w:cs="仿宋_GB2312"/>
          <w:highlight w:val="none"/>
        </w:rPr>
        <w:t>（ ）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14:paraId="449B9C5C">
      <w:pPr>
        <w:pStyle w:val="4"/>
        <w:ind w:firstLine="480"/>
        <w:jc w:val="left"/>
        <w:rPr>
          <w:highlight w:val="none"/>
        </w:rPr>
      </w:pPr>
      <w:r>
        <w:rPr>
          <w:rFonts w:ascii="仿宋_GB2312" w:hAnsi="仿宋_GB2312" w:eastAsia="仿宋_GB2312" w:cs="仿宋_GB2312"/>
          <w:highlight w:val="none"/>
        </w:rPr>
        <w:t>（ ）由本投标人承建的（填写“所投采购包、品目号”）工程</w:t>
      </w:r>
    </w:p>
    <w:p w14:paraId="6CB92239">
      <w:pPr>
        <w:pStyle w:val="4"/>
        <w:ind w:firstLine="480"/>
        <w:jc w:val="left"/>
        <w:rPr>
          <w:highlight w:val="none"/>
        </w:rPr>
      </w:pPr>
      <w:r>
        <w:rPr>
          <w:rFonts w:ascii="仿宋_GB2312" w:hAnsi="仿宋_GB2312" w:eastAsia="仿宋_GB2312" w:cs="仿宋_GB2312"/>
          <w:highlight w:val="none"/>
        </w:rPr>
        <w:t>（ ）由本投标人承接的（填写“所投采购包、品目号”）服务；</w:t>
      </w:r>
    </w:p>
    <w:p w14:paraId="40ABBC96">
      <w:pPr>
        <w:pStyle w:val="4"/>
        <w:ind w:firstLine="480"/>
        <w:jc w:val="left"/>
        <w:rPr>
          <w:highlight w:val="none"/>
        </w:rPr>
      </w:pPr>
      <w:r>
        <w:rPr>
          <w:rFonts w:ascii="仿宋_GB2312" w:hAnsi="仿宋_GB2312" w:eastAsia="仿宋_GB2312" w:cs="仿宋_GB2312"/>
          <w:highlight w:val="none"/>
        </w:rPr>
        <w:t>本投标人对上述声明的真实性负责。如有虚假，将依法承担相应责任。</w:t>
      </w:r>
    </w:p>
    <w:p w14:paraId="2382D40F">
      <w:pPr>
        <w:pStyle w:val="4"/>
        <w:ind w:firstLine="480"/>
        <w:jc w:val="left"/>
        <w:rPr>
          <w:highlight w:val="none"/>
        </w:rPr>
      </w:pPr>
      <w:r>
        <w:rPr>
          <w:rFonts w:ascii="仿宋_GB2312" w:hAnsi="仿宋_GB2312" w:eastAsia="仿宋_GB2312" w:cs="仿宋_GB2312"/>
          <w:highlight w:val="none"/>
        </w:rPr>
        <w:t>备注：</w:t>
      </w:r>
    </w:p>
    <w:p w14:paraId="387CB614">
      <w:pPr>
        <w:pStyle w:val="4"/>
        <w:ind w:firstLine="480"/>
        <w:jc w:val="left"/>
        <w:rPr>
          <w:highlight w:val="none"/>
        </w:rPr>
      </w:pPr>
      <w:r>
        <w:rPr>
          <w:rFonts w:ascii="仿宋_GB2312" w:hAnsi="仿宋_GB2312" w:eastAsia="仿宋_GB2312" w:cs="仿宋_GB2312"/>
          <w:highlight w:val="none"/>
        </w:rPr>
        <w:t>1、请投标人按照实际情况编制填写本声明函，并在相应的（）中打“√”。</w:t>
      </w:r>
    </w:p>
    <w:p w14:paraId="104D4426">
      <w:pPr>
        <w:pStyle w:val="4"/>
        <w:ind w:firstLine="480"/>
        <w:jc w:val="left"/>
        <w:rPr>
          <w:highlight w:val="none"/>
        </w:rPr>
      </w:pPr>
      <w:r>
        <w:rPr>
          <w:rFonts w:ascii="仿宋_GB2312" w:hAnsi="仿宋_GB2312" w:eastAsia="仿宋_GB2312" w:cs="仿宋_GB2312"/>
          <w:highlight w:val="none"/>
        </w:rPr>
        <w:t>2、若《残疾人福利性单位声明函》内容不真实，视为提供虚假材料。</w:t>
      </w:r>
    </w:p>
    <w:p w14:paraId="534F8DA3">
      <w:pPr>
        <w:pStyle w:val="4"/>
        <w:ind w:firstLine="480"/>
        <w:jc w:val="right"/>
        <w:rPr>
          <w:highlight w:val="none"/>
        </w:rPr>
      </w:pPr>
      <w:r>
        <w:rPr>
          <w:rFonts w:ascii="仿宋_GB2312" w:hAnsi="仿宋_GB2312" w:eastAsia="仿宋_GB2312" w:cs="仿宋_GB2312"/>
          <w:highlight w:val="none"/>
        </w:rPr>
        <w:t>投标人：</w:t>
      </w:r>
      <w:r>
        <w:rPr>
          <w:rFonts w:ascii="仿宋_GB2312" w:hAnsi="仿宋_GB2312" w:eastAsia="仿宋_GB2312" w:cs="仿宋_GB2312"/>
          <w:highlight w:val="none"/>
          <w:u w:val="single"/>
        </w:rPr>
        <w:t>（全称并加盖单位公章）</w:t>
      </w:r>
    </w:p>
    <w:p w14:paraId="2DBA4BF7">
      <w:pPr>
        <w:pStyle w:val="4"/>
        <w:ind w:firstLine="480"/>
        <w:jc w:val="right"/>
        <w:rPr>
          <w:highlight w:val="none"/>
        </w:rPr>
      </w:pPr>
      <w:r>
        <w:rPr>
          <w:rFonts w:ascii="仿宋_GB2312" w:hAnsi="仿宋_GB2312" w:eastAsia="仿宋_GB2312" w:cs="仿宋_GB2312"/>
          <w:highlight w:val="none"/>
        </w:rPr>
        <w:t>日期：</w:t>
      </w:r>
      <w:r>
        <w:rPr>
          <w:rFonts w:ascii="仿宋_GB2312" w:hAnsi="仿宋_GB2312" w:eastAsia="仿宋_GB2312" w:cs="仿宋_GB2312"/>
          <w:highlight w:val="none"/>
          <w:u w:val="single"/>
        </w:rPr>
        <w:t>　　年　　月　　日</w:t>
      </w:r>
    </w:p>
    <w:p w14:paraId="0131520C">
      <w:pPr>
        <w:pStyle w:val="4"/>
        <w:jc w:val="left"/>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7A272E2E">
      <w:pPr>
        <w:pStyle w:val="4"/>
        <w:ind w:firstLine="480"/>
        <w:jc w:val="left"/>
        <w:rPr>
          <w:highlight w:val="none"/>
        </w:rPr>
      </w:pPr>
      <w:r>
        <w:rPr>
          <w:rFonts w:ascii="仿宋_GB2312" w:hAnsi="仿宋_GB2312" w:eastAsia="仿宋_GB2312" w:cs="仿宋_GB2312"/>
          <w:highlight w:val="none"/>
        </w:rPr>
        <w:t>附：</w:t>
      </w:r>
    </w:p>
    <w:p w14:paraId="1185C2A4">
      <w:pPr>
        <w:pStyle w:val="4"/>
        <w:jc w:val="center"/>
        <w:outlineLvl w:val="3"/>
        <w:rPr>
          <w:highlight w:val="none"/>
        </w:rPr>
      </w:pPr>
      <w:r>
        <w:rPr>
          <w:rFonts w:ascii="仿宋_GB2312" w:hAnsi="仿宋_GB2312" w:eastAsia="仿宋_GB2312" w:cs="仿宋_GB2312"/>
          <w:b/>
          <w:sz w:val="24"/>
          <w:highlight w:val="none"/>
        </w:rPr>
        <w:t>监狱企业证明材料</w:t>
      </w:r>
    </w:p>
    <w:p w14:paraId="4D2520D0">
      <w:pPr>
        <w:pStyle w:val="4"/>
        <w:ind w:firstLine="480"/>
        <w:jc w:val="left"/>
        <w:rPr>
          <w:highlight w:val="none"/>
        </w:rPr>
      </w:pPr>
      <w:r>
        <w:rPr>
          <w:rFonts w:ascii="仿宋_GB2312" w:hAnsi="仿宋_GB2312" w:eastAsia="仿宋_GB2312" w:cs="仿宋_GB2312"/>
          <w:highlight w:val="none"/>
        </w:rPr>
        <w:t>投标人为监狱企业，提供本单位制造的货物（承接的服务），并在电子投标文件中提供省级以上监狱管理局、戒毒管理局（含新疆生产建设兵团）出具的属于监狱企业的证明文件。</w:t>
      </w:r>
    </w:p>
    <w:p w14:paraId="07FF6369">
      <w:pPr>
        <w:pStyle w:val="4"/>
        <w:jc w:val="left"/>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1D11EFDA">
      <w:pPr>
        <w:pStyle w:val="4"/>
        <w:jc w:val="center"/>
        <w:outlineLvl w:val="3"/>
        <w:rPr>
          <w:highlight w:val="none"/>
        </w:rPr>
      </w:pPr>
      <w:r>
        <w:rPr>
          <w:rFonts w:ascii="仿宋_GB2312" w:hAnsi="仿宋_GB2312" w:eastAsia="仿宋_GB2312" w:cs="仿宋_GB2312"/>
          <w:b/>
          <w:sz w:val="24"/>
          <w:highlight w:val="none"/>
        </w:rPr>
        <w:t>三-3招标文件规定的其他价格扣除证明材料（若有）</w:t>
      </w:r>
    </w:p>
    <w:p w14:paraId="66637356">
      <w:pPr>
        <w:pStyle w:val="4"/>
        <w:ind w:firstLine="480"/>
        <w:jc w:val="center"/>
        <w:rPr>
          <w:highlight w:val="none"/>
        </w:rPr>
      </w:pPr>
      <w:r>
        <w:rPr>
          <w:rFonts w:ascii="仿宋_GB2312" w:hAnsi="仿宋_GB2312" w:eastAsia="仿宋_GB2312" w:cs="仿宋_GB2312"/>
          <w:highlight w:val="none"/>
        </w:rPr>
        <w:t>编制说明</w:t>
      </w:r>
    </w:p>
    <w:p w14:paraId="03F12149">
      <w:pPr>
        <w:pStyle w:val="4"/>
        <w:ind w:firstLine="480"/>
        <w:jc w:val="left"/>
        <w:rPr>
          <w:highlight w:val="none"/>
        </w:rPr>
      </w:pPr>
      <w:r>
        <w:rPr>
          <w:rFonts w:ascii="仿宋_GB2312" w:hAnsi="仿宋_GB2312" w:eastAsia="仿宋_GB2312" w:cs="仿宋_GB2312"/>
          <w:highlight w:val="none"/>
        </w:rPr>
        <w:t>若投标人可享受招标文件规定的除“节能（非强制类）、环境标志产品价格扣除”及“小型、微型企业产品等价格扣除”外的其他价格扣除优惠，则投标人应按照招标文件要求提供相应证明材料。</w:t>
      </w:r>
    </w:p>
    <w:p w14:paraId="2751853D">
      <w:pPr>
        <w:pStyle w:val="4"/>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44EBC7C1">
      <w:pPr>
        <w:pStyle w:val="4"/>
        <w:jc w:val="center"/>
        <w:outlineLvl w:val="2"/>
        <w:rPr>
          <w:highlight w:val="none"/>
        </w:rPr>
      </w:pPr>
      <w:r>
        <w:rPr>
          <w:rFonts w:ascii="仿宋_GB2312" w:hAnsi="仿宋_GB2312" w:eastAsia="仿宋_GB2312" w:cs="仿宋_GB2312"/>
          <w:b/>
          <w:sz w:val="28"/>
          <w:highlight w:val="none"/>
        </w:rPr>
        <w:t>封面格式(技术商务部分)</w:t>
      </w:r>
    </w:p>
    <w:p w14:paraId="3A5ED41A">
      <w:pPr>
        <w:pStyle w:val="4"/>
        <w:jc w:val="center"/>
        <w:outlineLvl w:val="0"/>
        <w:rPr>
          <w:highlight w:val="none"/>
        </w:rPr>
      </w:pPr>
      <w:r>
        <w:rPr>
          <w:rFonts w:ascii="仿宋_GB2312" w:hAnsi="仿宋_GB2312" w:eastAsia="仿宋_GB2312" w:cs="仿宋_GB2312"/>
          <w:b/>
          <w:sz w:val="48"/>
          <w:highlight w:val="none"/>
        </w:rPr>
        <w:t>福建省政府采购投标文件</w:t>
      </w:r>
    </w:p>
    <w:p w14:paraId="09857C0B">
      <w:pPr>
        <w:pStyle w:val="4"/>
        <w:jc w:val="center"/>
        <w:outlineLvl w:val="0"/>
        <w:rPr>
          <w:highlight w:val="none"/>
        </w:rPr>
      </w:pPr>
      <w:r>
        <w:rPr>
          <w:rFonts w:ascii="仿宋_GB2312" w:hAnsi="仿宋_GB2312" w:eastAsia="仿宋_GB2312" w:cs="仿宋_GB2312"/>
          <w:b/>
          <w:sz w:val="48"/>
          <w:highlight w:val="none"/>
        </w:rPr>
        <w:t>（技术商务部分）</w:t>
      </w:r>
      <w:r>
        <w:rPr>
          <w:highlight w:val="none"/>
        </w:rPr>
        <w:br w:type="textWrapping"/>
      </w:r>
      <w:r>
        <w:rPr>
          <w:highlight w:val="none"/>
        </w:rPr>
        <w:br w:type="textWrapping"/>
      </w:r>
      <w:r>
        <w:rPr>
          <w:highlight w:val="none"/>
        </w:rPr>
        <w:br w:type="textWrapping"/>
      </w:r>
    </w:p>
    <w:p w14:paraId="5156F9C9">
      <w:pPr>
        <w:pStyle w:val="4"/>
        <w:jc w:val="center"/>
        <w:outlineLvl w:val="1"/>
        <w:rPr>
          <w:highlight w:val="none"/>
        </w:rPr>
      </w:pPr>
      <w:r>
        <w:rPr>
          <w:rFonts w:ascii="仿宋_GB2312" w:hAnsi="仿宋_GB2312" w:eastAsia="仿宋_GB2312" w:cs="仿宋_GB2312"/>
          <w:b/>
          <w:sz w:val="36"/>
          <w:highlight w:val="none"/>
        </w:rPr>
        <w:t>（填写正本或副本）</w:t>
      </w:r>
      <w:r>
        <w:rPr>
          <w:highlight w:val="none"/>
        </w:rPr>
        <w:br w:type="textWrapping"/>
      </w:r>
      <w:r>
        <w:rPr>
          <w:highlight w:val="none"/>
        </w:rPr>
        <w:br w:type="textWrapping"/>
      </w:r>
      <w:r>
        <w:rPr>
          <w:highlight w:val="none"/>
        </w:rPr>
        <w:br w:type="textWrapping"/>
      </w:r>
      <w:r>
        <w:rPr>
          <w:highlight w:val="none"/>
        </w:rPr>
        <w:br w:type="textWrapping"/>
      </w:r>
      <w:r>
        <w:rPr>
          <w:highlight w:val="none"/>
        </w:rPr>
        <w:br w:type="textWrapping"/>
      </w:r>
    </w:p>
    <w:p w14:paraId="533DB6BA">
      <w:pPr>
        <w:pStyle w:val="4"/>
        <w:jc w:val="center"/>
        <w:outlineLvl w:val="2"/>
        <w:rPr>
          <w:highlight w:val="none"/>
        </w:rPr>
      </w:pPr>
      <w:r>
        <w:rPr>
          <w:rFonts w:ascii="仿宋_GB2312" w:hAnsi="仿宋_GB2312" w:eastAsia="仿宋_GB2312" w:cs="仿宋_GB2312"/>
          <w:b/>
          <w:sz w:val="28"/>
          <w:highlight w:val="none"/>
        </w:rPr>
        <w:t>（项目名称：（由投标人填写）</w:t>
      </w:r>
    </w:p>
    <w:p w14:paraId="3126CFD2">
      <w:pPr>
        <w:pStyle w:val="4"/>
        <w:jc w:val="center"/>
        <w:outlineLvl w:val="2"/>
        <w:rPr>
          <w:highlight w:val="none"/>
        </w:rPr>
      </w:pPr>
      <w:r>
        <w:rPr>
          <w:rFonts w:ascii="仿宋_GB2312" w:hAnsi="仿宋_GB2312" w:eastAsia="仿宋_GB2312" w:cs="仿宋_GB2312"/>
          <w:b/>
          <w:sz w:val="28"/>
          <w:highlight w:val="none"/>
        </w:rPr>
        <w:t>（备案编号：（由投标人填写）</w:t>
      </w:r>
    </w:p>
    <w:p w14:paraId="0FF41CDB">
      <w:pPr>
        <w:pStyle w:val="4"/>
        <w:jc w:val="center"/>
        <w:outlineLvl w:val="2"/>
        <w:rPr>
          <w:highlight w:val="none"/>
        </w:rPr>
      </w:pPr>
      <w:r>
        <w:rPr>
          <w:rFonts w:ascii="仿宋_GB2312" w:hAnsi="仿宋_GB2312" w:eastAsia="仿宋_GB2312" w:cs="仿宋_GB2312"/>
          <w:b/>
          <w:sz w:val="28"/>
          <w:highlight w:val="none"/>
        </w:rPr>
        <w:t>（项目编号：（由投标人填写）</w:t>
      </w:r>
    </w:p>
    <w:p w14:paraId="76ECD2D1">
      <w:pPr>
        <w:pStyle w:val="4"/>
        <w:jc w:val="center"/>
        <w:outlineLvl w:val="2"/>
        <w:rPr>
          <w:highlight w:val="none"/>
        </w:rPr>
      </w:pPr>
      <w:r>
        <w:rPr>
          <w:rFonts w:ascii="仿宋_GB2312" w:hAnsi="仿宋_GB2312" w:eastAsia="仿宋_GB2312" w:cs="仿宋_GB2312"/>
          <w:b/>
          <w:sz w:val="28"/>
          <w:highlight w:val="none"/>
        </w:rPr>
        <w:t>（所投采购包：（由投标人填写）</w:t>
      </w:r>
      <w:r>
        <w:rPr>
          <w:highlight w:val="none"/>
        </w:rPr>
        <w:br w:type="textWrapping"/>
      </w:r>
      <w:r>
        <w:rPr>
          <w:highlight w:val="none"/>
        </w:rPr>
        <w:br w:type="textWrapping"/>
      </w:r>
    </w:p>
    <w:p w14:paraId="2AA9BEDB">
      <w:pPr>
        <w:pStyle w:val="4"/>
        <w:jc w:val="center"/>
        <w:outlineLvl w:val="2"/>
        <w:rPr>
          <w:highlight w:val="none"/>
        </w:rPr>
      </w:pPr>
      <w:r>
        <w:rPr>
          <w:rFonts w:ascii="仿宋_GB2312" w:hAnsi="仿宋_GB2312" w:eastAsia="仿宋_GB2312" w:cs="仿宋_GB2312"/>
          <w:b/>
          <w:sz w:val="28"/>
          <w:highlight w:val="none"/>
        </w:rPr>
        <w:t>投标人：（填写“全称”）</w:t>
      </w:r>
    </w:p>
    <w:p w14:paraId="74A5301F">
      <w:pPr>
        <w:pStyle w:val="4"/>
        <w:jc w:val="center"/>
        <w:outlineLvl w:val="2"/>
        <w:rPr>
          <w:highlight w:val="none"/>
        </w:rPr>
      </w:pPr>
      <w:r>
        <w:rPr>
          <w:rFonts w:ascii="仿宋_GB2312" w:hAnsi="仿宋_GB2312" w:eastAsia="仿宋_GB2312" w:cs="仿宋_GB2312"/>
          <w:b/>
          <w:sz w:val="28"/>
          <w:highlight w:val="none"/>
        </w:rPr>
        <w:t>（由投标人填写）年（由投标人填写）月</w:t>
      </w:r>
    </w:p>
    <w:p w14:paraId="3DEAAE66">
      <w:pPr>
        <w:pStyle w:val="4"/>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76CDEE64">
      <w:pPr>
        <w:pStyle w:val="4"/>
        <w:jc w:val="center"/>
        <w:outlineLvl w:val="2"/>
        <w:rPr>
          <w:highlight w:val="none"/>
        </w:rPr>
      </w:pPr>
      <w:r>
        <w:rPr>
          <w:rFonts w:ascii="仿宋_GB2312" w:hAnsi="仿宋_GB2312" w:eastAsia="仿宋_GB2312" w:cs="仿宋_GB2312"/>
          <w:b/>
          <w:sz w:val="28"/>
          <w:highlight w:val="none"/>
        </w:rPr>
        <w:t>索引</w:t>
      </w:r>
    </w:p>
    <w:p w14:paraId="2709A887">
      <w:pPr>
        <w:pStyle w:val="4"/>
        <w:ind w:firstLine="480"/>
        <w:jc w:val="left"/>
        <w:rPr>
          <w:highlight w:val="none"/>
        </w:rPr>
      </w:pPr>
      <w:r>
        <w:rPr>
          <w:rFonts w:ascii="仿宋_GB2312" w:hAnsi="仿宋_GB2312" w:eastAsia="仿宋_GB2312" w:cs="仿宋_GB2312"/>
          <w:highlight w:val="none"/>
        </w:rPr>
        <w:t>一、标的说明一览表</w:t>
      </w:r>
    </w:p>
    <w:p w14:paraId="143C3309">
      <w:pPr>
        <w:pStyle w:val="4"/>
        <w:ind w:firstLine="480"/>
        <w:jc w:val="left"/>
        <w:rPr>
          <w:highlight w:val="none"/>
        </w:rPr>
      </w:pPr>
      <w:r>
        <w:rPr>
          <w:rFonts w:ascii="仿宋_GB2312" w:hAnsi="仿宋_GB2312" w:eastAsia="仿宋_GB2312" w:cs="仿宋_GB2312"/>
          <w:highlight w:val="none"/>
        </w:rPr>
        <w:t>二、技术和服务要求响应表</w:t>
      </w:r>
    </w:p>
    <w:p w14:paraId="5B5B010E">
      <w:pPr>
        <w:pStyle w:val="4"/>
        <w:ind w:firstLine="480"/>
        <w:jc w:val="left"/>
        <w:rPr>
          <w:highlight w:val="none"/>
        </w:rPr>
      </w:pPr>
      <w:r>
        <w:rPr>
          <w:rFonts w:ascii="仿宋_GB2312" w:hAnsi="仿宋_GB2312" w:eastAsia="仿宋_GB2312" w:cs="仿宋_GB2312"/>
          <w:highlight w:val="none"/>
        </w:rPr>
        <w:t>三、商务条件响应表</w:t>
      </w:r>
    </w:p>
    <w:p w14:paraId="1CE8E6F2">
      <w:pPr>
        <w:pStyle w:val="4"/>
        <w:ind w:firstLine="480"/>
        <w:jc w:val="left"/>
        <w:rPr>
          <w:highlight w:val="none"/>
        </w:rPr>
      </w:pPr>
      <w:r>
        <w:rPr>
          <w:rFonts w:ascii="仿宋_GB2312" w:hAnsi="仿宋_GB2312" w:eastAsia="仿宋_GB2312" w:cs="仿宋_GB2312"/>
          <w:highlight w:val="none"/>
        </w:rPr>
        <w:t>四、投标人提交的其他资料（若有）</w:t>
      </w:r>
    </w:p>
    <w:p w14:paraId="35A97563">
      <w:pPr>
        <w:pStyle w:val="4"/>
        <w:ind w:firstLine="480"/>
        <w:jc w:val="left"/>
        <w:rPr>
          <w:highlight w:val="none"/>
        </w:rPr>
      </w:pPr>
      <w:r>
        <w:rPr>
          <w:rFonts w:ascii="仿宋_GB2312" w:hAnsi="仿宋_GB2312" w:eastAsia="仿宋_GB2312" w:cs="仿宋_GB2312"/>
          <w:highlight w:val="none"/>
        </w:rPr>
        <w:t>※注意</w:t>
      </w:r>
    </w:p>
    <w:p w14:paraId="1572D3E4">
      <w:pPr>
        <w:pStyle w:val="4"/>
        <w:ind w:firstLine="480"/>
        <w:jc w:val="left"/>
        <w:rPr>
          <w:highlight w:val="none"/>
        </w:rPr>
      </w:pPr>
      <w:r>
        <w:rPr>
          <w:rFonts w:ascii="仿宋_GB2312" w:hAnsi="仿宋_GB2312" w:eastAsia="仿宋_GB2312" w:cs="仿宋_GB2312"/>
          <w:highlight w:val="none"/>
        </w:rPr>
        <w:t>技术商务部分中不得出现报价部分的全部或部分的投标报价信息（或组成资料），否则符合性审查不合格。</w:t>
      </w:r>
    </w:p>
    <w:p w14:paraId="5452B076">
      <w:pPr>
        <w:pStyle w:val="4"/>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5668BF75">
      <w:pPr>
        <w:pStyle w:val="4"/>
        <w:jc w:val="center"/>
        <w:outlineLvl w:val="2"/>
        <w:rPr>
          <w:highlight w:val="none"/>
        </w:rPr>
      </w:pPr>
      <w:r>
        <w:rPr>
          <w:rFonts w:ascii="仿宋_GB2312" w:hAnsi="仿宋_GB2312" w:eastAsia="仿宋_GB2312" w:cs="仿宋_GB2312"/>
          <w:b/>
          <w:sz w:val="28"/>
          <w:highlight w:val="none"/>
        </w:rPr>
        <w:t>一、标的说明一览表</w:t>
      </w:r>
    </w:p>
    <w:p w14:paraId="71D1250A">
      <w:pPr>
        <w:pStyle w:val="4"/>
        <w:ind w:firstLine="480"/>
        <w:jc w:val="left"/>
        <w:rPr>
          <w:highlight w:val="none"/>
        </w:rPr>
      </w:pPr>
      <w:r>
        <w:rPr>
          <w:rFonts w:ascii="仿宋_GB2312" w:hAnsi="仿宋_GB2312" w:eastAsia="仿宋_GB2312" w:cs="仿宋_GB2312"/>
          <w:highlight w:val="none"/>
        </w:rPr>
        <w:t>项目编号：</w:t>
      </w:r>
      <w:r>
        <w:rPr>
          <w:rFonts w:ascii="仿宋_GB2312" w:hAnsi="仿宋_GB2312" w:eastAsia="仿宋_GB2312" w:cs="仿宋_GB2312"/>
          <w:highlight w:val="none"/>
          <w:u w:val="single"/>
        </w:rPr>
        <w:t>　　　　　　　　</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7"/>
        <w:gridCol w:w="1187"/>
        <w:gridCol w:w="1187"/>
        <w:gridCol w:w="1187"/>
        <w:gridCol w:w="1187"/>
        <w:gridCol w:w="1187"/>
        <w:gridCol w:w="1187"/>
      </w:tblGrid>
      <w:tr w14:paraId="2EC86B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57BB2BEB">
            <w:pPr>
              <w:pStyle w:val="4"/>
              <w:jc w:val="left"/>
              <w:rPr>
                <w:highlight w:val="none"/>
              </w:rPr>
            </w:pPr>
            <w:r>
              <w:rPr>
                <w:rFonts w:ascii="仿宋_GB2312" w:hAnsi="仿宋_GB2312" w:eastAsia="仿宋_GB2312" w:cs="仿宋_GB2312"/>
                <w:highlight w:val="none"/>
              </w:rPr>
              <w:t>采购包</w:t>
            </w:r>
          </w:p>
        </w:tc>
        <w:tc>
          <w:tcPr>
            <w:tcW w:w="1187" w:type="dxa"/>
          </w:tcPr>
          <w:p w14:paraId="07D27DC3">
            <w:pPr>
              <w:pStyle w:val="4"/>
              <w:jc w:val="left"/>
              <w:rPr>
                <w:highlight w:val="none"/>
              </w:rPr>
            </w:pPr>
            <w:r>
              <w:rPr>
                <w:rFonts w:ascii="仿宋_GB2312" w:hAnsi="仿宋_GB2312" w:eastAsia="仿宋_GB2312" w:cs="仿宋_GB2312"/>
                <w:highlight w:val="none"/>
              </w:rPr>
              <w:t>品目号</w:t>
            </w:r>
          </w:p>
        </w:tc>
        <w:tc>
          <w:tcPr>
            <w:tcW w:w="1187" w:type="dxa"/>
          </w:tcPr>
          <w:p w14:paraId="4C11024D">
            <w:pPr>
              <w:pStyle w:val="4"/>
              <w:jc w:val="left"/>
              <w:rPr>
                <w:highlight w:val="none"/>
              </w:rPr>
            </w:pPr>
            <w:r>
              <w:rPr>
                <w:rFonts w:ascii="仿宋_GB2312" w:hAnsi="仿宋_GB2312" w:eastAsia="仿宋_GB2312" w:cs="仿宋_GB2312"/>
                <w:highlight w:val="none"/>
              </w:rPr>
              <w:t>投标标的</w:t>
            </w:r>
          </w:p>
        </w:tc>
        <w:tc>
          <w:tcPr>
            <w:tcW w:w="1187" w:type="dxa"/>
          </w:tcPr>
          <w:p w14:paraId="58BBB5DF">
            <w:pPr>
              <w:pStyle w:val="4"/>
              <w:jc w:val="left"/>
              <w:rPr>
                <w:highlight w:val="none"/>
              </w:rPr>
            </w:pPr>
            <w:r>
              <w:rPr>
                <w:rFonts w:ascii="仿宋_GB2312" w:hAnsi="仿宋_GB2312" w:eastAsia="仿宋_GB2312" w:cs="仿宋_GB2312"/>
                <w:highlight w:val="none"/>
              </w:rPr>
              <w:t>数量</w:t>
            </w:r>
          </w:p>
        </w:tc>
        <w:tc>
          <w:tcPr>
            <w:tcW w:w="1187" w:type="dxa"/>
          </w:tcPr>
          <w:p w14:paraId="4E520FA1">
            <w:pPr>
              <w:pStyle w:val="4"/>
              <w:jc w:val="left"/>
              <w:rPr>
                <w:highlight w:val="none"/>
              </w:rPr>
            </w:pPr>
            <w:r>
              <w:rPr>
                <w:rFonts w:ascii="仿宋_GB2312" w:hAnsi="仿宋_GB2312" w:eastAsia="仿宋_GB2312" w:cs="仿宋_GB2312"/>
                <w:highlight w:val="none"/>
              </w:rPr>
              <w:t>规格</w:t>
            </w:r>
          </w:p>
        </w:tc>
        <w:tc>
          <w:tcPr>
            <w:tcW w:w="1187" w:type="dxa"/>
          </w:tcPr>
          <w:p w14:paraId="2DD5A421">
            <w:pPr>
              <w:pStyle w:val="4"/>
              <w:jc w:val="left"/>
              <w:rPr>
                <w:highlight w:val="none"/>
              </w:rPr>
            </w:pPr>
            <w:r>
              <w:rPr>
                <w:rFonts w:ascii="仿宋_GB2312" w:hAnsi="仿宋_GB2312" w:eastAsia="仿宋_GB2312" w:cs="仿宋_GB2312"/>
                <w:highlight w:val="none"/>
              </w:rPr>
              <w:t>来源地</w:t>
            </w:r>
          </w:p>
        </w:tc>
        <w:tc>
          <w:tcPr>
            <w:tcW w:w="1187" w:type="dxa"/>
          </w:tcPr>
          <w:p w14:paraId="63B3CF60">
            <w:pPr>
              <w:pStyle w:val="4"/>
              <w:jc w:val="left"/>
              <w:rPr>
                <w:highlight w:val="none"/>
              </w:rPr>
            </w:pPr>
            <w:r>
              <w:rPr>
                <w:rFonts w:ascii="仿宋_GB2312" w:hAnsi="仿宋_GB2312" w:eastAsia="仿宋_GB2312" w:cs="仿宋_GB2312"/>
                <w:highlight w:val="none"/>
              </w:rPr>
              <w:t>备注</w:t>
            </w:r>
          </w:p>
        </w:tc>
      </w:tr>
      <w:tr w14:paraId="498B78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1187" w:type="dxa"/>
        </w:trPr>
        <w:tc>
          <w:tcPr>
            <w:tcW w:w="1187" w:type="dxa"/>
            <w:vMerge w:val="restart"/>
          </w:tcPr>
          <w:p w14:paraId="6EB1740D">
            <w:pPr>
              <w:pStyle w:val="4"/>
              <w:jc w:val="left"/>
              <w:rPr>
                <w:highlight w:val="none"/>
              </w:rPr>
            </w:pPr>
            <w:r>
              <w:rPr>
                <w:rFonts w:ascii="仿宋_GB2312" w:hAnsi="仿宋_GB2312" w:eastAsia="仿宋_GB2312" w:cs="仿宋_GB2312"/>
                <w:highlight w:val="none"/>
              </w:rPr>
              <w:t>*</w:t>
            </w:r>
          </w:p>
        </w:tc>
        <w:tc>
          <w:tcPr>
            <w:tcW w:w="1187" w:type="dxa"/>
          </w:tcPr>
          <w:p w14:paraId="1B371D6D">
            <w:pPr>
              <w:pStyle w:val="4"/>
              <w:jc w:val="left"/>
              <w:rPr>
                <w:highlight w:val="none"/>
              </w:rPr>
            </w:pPr>
            <w:r>
              <w:rPr>
                <w:rFonts w:ascii="仿宋_GB2312" w:hAnsi="仿宋_GB2312" w:eastAsia="仿宋_GB2312" w:cs="仿宋_GB2312"/>
                <w:highlight w:val="none"/>
              </w:rPr>
              <w:t>*-1</w:t>
            </w:r>
          </w:p>
        </w:tc>
        <w:tc>
          <w:tcPr>
            <w:tcW w:w="1187" w:type="dxa"/>
          </w:tcPr>
          <w:p w14:paraId="068CAC7D">
            <w:pPr>
              <w:rPr>
                <w:highlight w:val="none"/>
              </w:rPr>
            </w:pPr>
          </w:p>
        </w:tc>
        <w:tc>
          <w:tcPr>
            <w:tcW w:w="1187" w:type="dxa"/>
          </w:tcPr>
          <w:p w14:paraId="0ADB0568">
            <w:pPr>
              <w:rPr>
                <w:highlight w:val="none"/>
              </w:rPr>
            </w:pPr>
          </w:p>
        </w:tc>
        <w:tc>
          <w:tcPr>
            <w:tcW w:w="1187" w:type="dxa"/>
          </w:tcPr>
          <w:p w14:paraId="46707407">
            <w:pPr>
              <w:rPr>
                <w:highlight w:val="none"/>
              </w:rPr>
            </w:pPr>
          </w:p>
        </w:tc>
        <w:tc>
          <w:tcPr>
            <w:tcW w:w="1187" w:type="dxa"/>
          </w:tcPr>
          <w:p w14:paraId="0002D5CF">
            <w:pPr>
              <w:rPr>
                <w:highlight w:val="none"/>
              </w:rPr>
            </w:pPr>
          </w:p>
        </w:tc>
      </w:tr>
      <w:tr w14:paraId="531997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1187" w:type="dxa"/>
        </w:trPr>
        <w:tc>
          <w:tcPr>
            <w:tcW w:w="1187" w:type="dxa"/>
            <w:vMerge w:val="continue"/>
          </w:tcPr>
          <w:p w14:paraId="3FAC4B28">
            <w:pPr>
              <w:rPr>
                <w:highlight w:val="none"/>
              </w:rPr>
            </w:pPr>
          </w:p>
        </w:tc>
        <w:tc>
          <w:tcPr>
            <w:tcW w:w="1187" w:type="dxa"/>
          </w:tcPr>
          <w:p w14:paraId="4A6B76F6">
            <w:pPr>
              <w:pStyle w:val="4"/>
              <w:jc w:val="left"/>
              <w:rPr>
                <w:highlight w:val="none"/>
              </w:rPr>
            </w:pPr>
            <w:r>
              <w:rPr>
                <w:rFonts w:ascii="仿宋_GB2312" w:hAnsi="仿宋_GB2312" w:eastAsia="仿宋_GB2312" w:cs="仿宋_GB2312"/>
                <w:highlight w:val="none"/>
              </w:rPr>
              <w:t>…</w:t>
            </w:r>
          </w:p>
        </w:tc>
        <w:tc>
          <w:tcPr>
            <w:tcW w:w="1187" w:type="dxa"/>
          </w:tcPr>
          <w:p w14:paraId="39ACB78C">
            <w:pPr>
              <w:rPr>
                <w:highlight w:val="none"/>
              </w:rPr>
            </w:pPr>
          </w:p>
        </w:tc>
        <w:tc>
          <w:tcPr>
            <w:tcW w:w="1187" w:type="dxa"/>
          </w:tcPr>
          <w:p w14:paraId="137A9A3F">
            <w:pPr>
              <w:rPr>
                <w:highlight w:val="none"/>
              </w:rPr>
            </w:pPr>
          </w:p>
        </w:tc>
        <w:tc>
          <w:tcPr>
            <w:tcW w:w="1187" w:type="dxa"/>
          </w:tcPr>
          <w:p w14:paraId="0963F618">
            <w:pPr>
              <w:rPr>
                <w:highlight w:val="none"/>
              </w:rPr>
            </w:pPr>
          </w:p>
        </w:tc>
        <w:tc>
          <w:tcPr>
            <w:tcW w:w="1187" w:type="dxa"/>
          </w:tcPr>
          <w:p w14:paraId="27D9E9F8">
            <w:pPr>
              <w:rPr>
                <w:highlight w:val="none"/>
              </w:rPr>
            </w:pPr>
          </w:p>
        </w:tc>
      </w:tr>
      <w:tr w14:paraId="407082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1187" w:type="dxa"/>
        </w:trPr>
        <w:tc>
          <w:tcPr>
            <w:tcW w:w="1187" w:type="dxa"/>
          </w:tcPr>
          <w:p w14:paraId="23DC6122">
            <w:pPr>
              <w:pStyle w:val="4"/>
              <w:jc w:val="left"/>
              <w:rPr>
                <w:highlight w:val="none"/>
              </w:rPr>
            </w:pPr>
            <w:r>
              <w:rPr>
                <w:rFonts w:ascii="仿宋_GB2312" w:hAnsi="仿宋_GB2312" w:eastAsia="仿宋_GB2312" w:cs="仿宋_GB2312"/>
                <w:highlight w:val="none"/>
              </w:rPr>
              <w:t>…</w:t>
            </w:r>
          </w:p>
        </w:tc>
        <w:tc>
          <w:tcPr>
            <w:tcW w:w="1187" w:type="dxa"/>
          </w:tcPr>
          <w:p w14:paraId="1B4F9514">
            <w:pPr>
              <w:rPr>
                <w:highlight w:val="none"/>
              </w:rPr>
            </w:pPr>
          </w:p>
        </w:tc>
        <w:tc>
          <w:tcPr>
            <w:tcW w:w="1187" w:type="dxa"/>
          </w:tcPr>
          <w:p w14:paraId="5AEC77F5">
            <w:pPr>
              <w:rPr>
                <w:highlight w:val="none"/>
              </w:rPr>
            </w:pPr>
          </w:p>
        </w:tc>
        <w:tc>
          <w:tcPr>
            <w:tcW w:w="1187" w:type="dxa"/>
          </w:tcPr>
          <w:p w14:paraId="75EC2D3B">
            <w:pPr>
              <w:rPr>
                <w:highlight w:val="none"/>
              </w:rPr>
            </w:pPr>
          </w:p>
        </w:tc>
        <w:tc>
          <w:tcPr>
            <w:tcW w:w="1187" w:type="dxa"/>
          </w:tcPr>
          <w:p w14:paraId="1220916B">
            <w:pPr>
              <w:rPr>
                <w:highlight w:val="none"/>
              </w:rPr>
            </w:pPr>
          </w:p>
        </w:tc>
        <w:tc>
          <w:tcPr>
            <w:tcW w:w="1187" w:type="dxa"/>
          </w:tcPr>
          <w:p w14:paraId="30E5720C">
            <w:pPr>
              <w:rPr>
                <w:highlight w:val="none"/>
              </w:rPr>
            </w:pPr>
          </w:p>
        </w:tc>
      </w:tr>
    </w:tbl>
    <w:p w14:paraId="4B6DD130">
      <w:pPr>
        <w:pStyle w:val="4"/>
        <w:ind w:firstLine="480"/>
        <w:jc w:val="left"/>
        <w:rPr>
          <w:highlight w:val="none"/>
        </w:rPr>
      </w:pPr>
      <w:r>
        <w:rPr>
          <w:rFonts w:ascii="仿宋_GB2312" w:hAnsi="仿宋_GB2312" w:eastAsia="仿宋_GB2312" w:cs="仿宋_GB2312"/>
          <w:highlight w:val="none"/>
        </w:rPr>
        <w:t>※注意：</w:t>
      </w:r>
    </w:p>
    <w:p w14:paraId="099EBC88">
      <w:pPr>
        <w:pStyle w:val="4"/>
        <w:ind w:firstLine="480"/>
        <w:jc w:val="left"/>
        <w:rPr>
          <w:highlight w:val="none"/>
        </w:rPr>
      </w:pPr>
      <w:r>
        <w:rPr>
          <w:rFonts w:ascii="仿宋_GB2312" w:hAnsi="仿宋_GB2312" w:eastAsia="仿宋_GB2312" w:cs="仿宋_GB2312"/>
          <w:highlight w:val="none"/>
        </w:rPr>
        <w:t>1、本表应按照下列规定填写：</w:t>
      </w:r>
    </w:p>
    <w:p w14:paraId="058F4F05">
      <w:pPr>
        <w:pStyle w:val="4"/>
        <w:ind w:firstLine="480"/>
        <w:jc w:val="left"/>
        <w:rPr>
          <w:highlight w:val="none"/>
        </w:rPr>
      </w:pPr>
      <w:r>
        <w:rPr>
          <w:rFonts w:ascii="仿宋_GB2312" w:hAnsi="仿宋_GB2312" w:eastAsia="仿宋_GB2312" w:cs="仿宋_GB2312"/>
          <w:highlight w:val="none"/>
        </w:rPr>
        <w:t>1.1“采购包”、“品目号”、“投标标的”及“数量”应与招标文件《采购标的一览表》中的有关内容（“采购包”、“品目号”、“采购标的”及“数量”）保持一致。</w:t>
      </w:r>
    </w:p>
    <w:p w14:paraId="1853CE3E">
      <w:pPr>
        <w:pStyle w:val="4"/>
        <w:ind w:firstLine="480"/>
        <w:jc w:val="left"/>
        <w:rPr>
          <w:highlight w:val="none"/>
        </w:rPr>
      </w:pPr>
      <w:r>
        <w:rPr>
          <w:rFonts w:ascii="仿宋_GB2312" w:hAnsi="仿宋_GB2312" w:eastAsia="仿宋_GB2312" w:cs="仿宋_GB2312"/>
          <w:highlight w:val="none"/>
        </w:rPr>
        <w:t>1.2“投标标的”为货物的：“规格”项下应填写货物制造厂商赋予的品牌（属于节能、环保清单产品的货物，填写的品牌名称应与清单载明的品牌名称保持一致）及具体型号。“来源地”应填写货物的原产地。“备注”项下应填写货物的详细性能说明及供货范围清单（若有），其中供货范围清单包括但不限于：组成货物的主要件和关键件的名称、数量、原产地，专用工具（若有）的名称、数量、原产地，备品备件（若有）的名称、数量、原产地等。</w:t>
      </w:r>
    </w:p>
    <w:p w14:paraId="55B7C6D6">
      <w:pPr>
        <w:pStyle w:val="4"/>
        <w:ind w:firstLine="480"/>
        <w:jc w:val="left"/>
        <w:rPr>
          <w:highlight w:val="none"/>
        </w:rPr>
      </w:pPr>
      <w:r>
        <w:rPr>
          <w:rFonts w:ascii="仿宋_GB2312" w:hAnsi="仿宋_GB2312" w:eastAsia="仿宋_GB2312" w:cs="仿宋_GB2312"/>
          <w:highlight w:val="none"/>
        </w:rPr>
        <w:t>1.3“投标标的”为服务的：“规格”项下应填写服务提供者提供的服务标准及品牌（若有）。“来源地”应填写服务提供者的所在地。“备注”项下应填写关于服务标准所涵盖的具体项目或内容的说明等。</w:t>
      </w:r>
    </w:p>
    <w:p w14:paraId="7F151D8E">
      <w:pPr>
        <w:pStyle w:val="4"/>
        <w:ind w:firstLine="480"/>
        <w:jc w:val="left"/>
        <w:rPr>
          <w:highlight w:val="none"/>
        </w:rPr>
      </w:pPr>
      <w:r>
        <w:rPr>
          <w:rFonts w:ascii="仿宋_GB2312" w:hAnsi="仿宋_GB2312" w:eastAsia="仿宋_GB2312" w:cs="仿宋_GB2312"/>
          <w:highlight w:val="none"/>
        </w:rPr>
        <w:t>2、投标人需要说明的内容若需特殊表达，应先在本表中进行相应说明，再另页应答，但应做好标注说明，方便评委查阅评审。未标注说明可能导致的不利的评审后果由投标人自行承担。</w:t>
      </w:r>
    </w:p>
    <w:p w14:paraId="3E98038B">
      <w:pPr>
        <w:pStyle w:val="4"/>
        <w:ind w:firstLine="480"/>
        <w:jc w:val="left"/>
        <w:rPr>
          <w:highlight w:val="none"/>
        </w:rPr>
      </w:pPr>
      <w:r>
        <w:rPr>
          <w:rFonts w:ascii="仿宋_GB2312" w:hAnsi="仿宋_GB2312" w:eastAsia="仿宋_GB2312" w:cs="仿宋_GB2312"/>
          <w:highlight w:val="none"/>
        </w:rPr>
        <w:t>3、电子投标文件中涉及“投标标的”、“数量”、“规格”、“来源地”的内容若不一致，应以本表为准。</w:t>
      </w:r>
    </w:p>
    <w:p w14:paraId="38977AC3">
      <w:pPr>
        <w:pStyle w:val="4"/>
        <w:ind w:firstLine="480"/>
        <w:jc w:val="right"/>
        <w:rPr>
          <w:highlight w:val="none"/>
        </w:rPr>
      </w:pPr>
      <w:r>
        <w:rPr>
          <w:rFonts w:ascii="仿宋_GB2312" w:hAnsi="仿宋_GB2312" w:eastAsia="仿宋_GB2312" w:cs="仿宋_GB2312"/>
          <w:highlight w:val="none"/>
        </w:rPr>
        <w:t>投标人：</w:t>
      </w:r>
      <w:r>
        <w:rPr>
          <w:rFonts w:ascii="仿宋_GB2312" w:hAnsi="仿宋_GB2312" w:eastAsia="仿宋_GB2312" w:cs="仿宋_GB2312"/>
          <w:highlight w:val="none"/>
          <w:u w:val="single"/>
        </w:rPr>
        <w:t>（全称并加盖单位公章）</w:t>
      </w:r>
    </w:p>
    <w:p w14:paraId="4D4F2AC8">
      <w:pPr>
        <w:pStyle w:val="4"/>
        <w:ind w:firstLine="480"/>
        <w:jc w:val="right"/>
        <w:rPr>
          <w:highlight w:val="none"/>
        </w:rPr>
      </w:pPr>
      <w:r>
        <w:rPr>
          <w:rFonts w:ascii="仿宋_GB2312" w:hAnsi="仿宋_GB2312" w:eastAsia="仿宋_GB2312" w:cs="仿宋_GB2312"/>
          <w:highlight w:val="none"/>
        </w:rPr>
        <w:t>日期：</w:t>
      </w:r>
      <w:r>
        <w:rPr>
          <w:rFonts w:ascii="仿宋_GB2312" w:hAnsi="仿宋_GB2312" w:eastAsia="仿宋_GB2312" w:cs="仿宋_GB2312"/>
          <w:highlight w:val="none"/>
          <w:u w:val="single"/>
        </w:rPr>
        <w:t>　　年　　月　　日</w:t>
      </w:r>
    </w:p>
    <w:p w14:paraId="410F0A07">
      <w:pPr>
        <w:pStyle w:val="4"/>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3435744B">
      <w:pPr>
        <w:pStyle w:val="4"/>
        <w:jc w:val="center"/>
        <w:outlineLvl w:val="2"/>
        <w:rPr>
          <w:highlight w:val="none"/>
        </w:rPr>
      </w:pPr>
      <w:r>
        <w:rPr>
          <w:rFonts w:ascii="仿宋_GB2312" w:hAnsi="仿宋_GB2312" w:eastAsia="仿宋_GB2312" w:cs="仿宋_GB2312"/>
          <w:b/>
          <w:sz w:val="28"/>
          <w:highlight w:val="none"/>
        </w:rPr>
        <w:t>二、技术和服务要求响应表</w:t>
      </w:r>
    </w:p>
    <w:p w14:paraId="0BEE722F">
      <w:pPr>
        <w:pStyle w:val="4"/>
        <w:ind w:firstLine="480"/>
        <w:jc w:val="left"/>
        <w:rPr>
          <w:highlight w:val="none"/>
        </w:rPr>
      </w:pPr>
      <w:r>
        <w:rPr>
          <w:rFonts w:ascii="仿宋_GB2312" w:hAnsi="仿宋_GB2312" w:eastAsia="仿宋_GB2312" w:cs="仿宋_GB2312"/>
          <w:highlight w:val="none"/>
        </w:rPr>
        <w:t>项目编号：</w:t>
      </w:r>
      <w:r>
        <w:rPr>
          <w:rFonts w:ascii="仿宋_GB2312" w:hAnsi="仿宋_GB2312" w:eastAsia="仿宋_GB2312" w:cs="仿宋_GB2312"/>
          <w:highlight w:val="none"/>
          <w:u w:val="single"/>
        </w:rPr>
        <w:t>　　　　　　　　</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1661"/>
      </w:tblGrid>
      <w:tr w14:paraId="5B49B0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41AD443F">
            <w:pPr>
              <w:pStyle w:val="4"/>
              <w:jc w:val="left"/>
              <w:rPr>
                <w:highlight w:val="none"/>
              </w:rPr>
            </w:pPr>
            <w:r>
              <w:rPr>
                <w:rFonts w:ascii="仿宋_GB2312" w:hAnsi="仿宋_GB2312" w:eastAsia="仿宋_GB2312" w:cs="仿宋_GB2312"/>
                <w:highlight w:val="none"/>
              </w:rPr>
              <w:t>采购包</w:t>
            </w:r>
          </w:p>
        </w:tc>
        <w:tc>
          <w:tcPr>
            <w:tcW w:w="1661" w:type="dxa"/>
          </w:tcPr>
          <w:p w14:paraId="3B90FEEE">
            <w:pPr>
              <w:pStyle w:val="4"/>
              <w:jc w:val="left"/>
              <w:rPr>
                <w:highlight w:val="none"/>
              </w:rPr>
            </w:pPr>
            <w:r>
              <w:rPr>
                <w:rFonts w:ascii="仿宋_GB2312" w:hAnsi="仿宋_GB2312" w:eastAsia="仿宋_GB2312" w:cs="仿宋_GB2312"/>
                <w:highlight w:val="none"/>
              </w:rPr>
              <w:t>品目号</w:t>
            </w:r>
          </w:p>
        </w:tc>
        <w:tc>
          <w:tcPr>
            <w:tcW w:w="1661" w:type="dxa"/>
          </w:tcPr>
          <w:p w14:paraId="4267B838">
            <w:pPr>
              <w:pStyle w:val="4"/>
              <w:jc w:val="left"/>
              <w:rPr>
                <w:highlight w:val="none"/>
              </w:rPr>
            </w:pPr>
            <w:r>
              <w:rPr>
                <w:rFonts w:ascii="仿宋_GB2312" w:hAnsi="仿宋_GB2312" w:eastAsia="仿宋_GB2312" w:cs="仿宋_GB2312"/>
                <w:highlight w:val="none"/>
              </w:rPr>
              <w:t>技术和服务要求</w:t>
            </w:r>
          </w:p>
        </w:tc>
        <w:tc>
          <w:tcPr>
            <w:tcW w:w="1661" w:type="dxa"/>
          </w:tcPr>
          <w:p w14:paraId="7B170E62">
            <w:pPr>
              <w:pStyle w:val="4"/>
              <w:jc w:val="left"/>
              <w:rPr>
                <w:highlight w:val="none"/>
              </w:rPr>
            </w:pPr>
            <w:r>
              <w:rPr>
                <w:rFonts w:ascii="仿宋_GB2312" w:hAnsi="仿宋_GB2312" w:eastAsia="仿宋_GB2312" w:cs="仿宋_GB2312"/>
                <w:highlight w:val="none"/>
              </w:rPr>
              <w:t>投标响应</w:t>
            </w:r>
          </w:p>
        </w:tc>
        <w:tc>
          <w:tcPr>
            <w:tcW w:w="1661" w:type="dxa"/>
          </w:tcPr>
          <w:p w14:paraId="7B54A1B5">
            <w:pPr>
              <w:pStyle w:val="4"/>
              <w:jc w:val="left"/>
              <w:rPr>
                <w:highlight w:val="none"/>
              </w:rPr>
            </w:pPr>
            <w:r>
              <w:rPr>
                <w:rFonts w:ascii="仿宋_GB2312" w:hAnsi="仿宋_GB2312" w:eastAsia="仿宋_GB2312" w:cs="仿宋_GB2312"/>
                <w:highlight w:val="none"/>
              </w:rPr>
              <w:t>是否偏离及说明</w:t>
            </w:r>
          </w:p>
        </w:tc>
      </w:tr>
      <w:tr w14:paraId="693137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restart"/>
          </w:tcPr>
          <w:p w14:paraId="4DFFCC67">
            <w:pPr>
              <w:pStyle w:val="4"/>
              <w:jc w:val="left"/>
              <w:rPr>
                <w:highlight w:val="none"/>
              </w:rPr>
            </w:pPr>
            <w:r>
              <w:rPr>
                <w:rFonts w:ascii="仿宋_GB2312" w:hAnsi="仿宋_GB2312" w:eastAsia="仿宋_GB2312" w:cs="仿宋_GB2312"/>
                <w:highlight w:val="none"/>
              </w:rPr>
              <w:t>*</w:t>
            </w:r>
          </w:p>
        </w:tc>
        <w:tc>
          <w:tcPr>
            <w:tcW w:w="1661" w:type="dxa"/>
          </w:tcPr>
          <w:p w14:paraId="1E4B686C">
            <w:pPr>
              <w:pStyle w:val="4"/>
              <w:jc w:val="left"/>
              <w:rPr>
                <w:highlight w:val="none"/>
              </w:rPr>
            </w:pPr>
            <w:r>
              <w:rPr>
                <w:rFonts w:ascii="仿宋_GB2312" w:hAnsi="仿宋_GB2312" w:eastAsia="仿宋_GB2312" w:cs="仿宋_GB2312"/>
                <w:highlight w:val="none"/>
              </w:rPr>
              <w:t>*-1</w:t>
            </w:r>
          </w:p>
        </w:tc>
        <w:tc>
          <w:tcPr>
            <w:tcW w:w="1661" w:type="dxa"/>
          </w:tcPr>
          <w:p w14:paraId="0C21A0D6">
            <w:pPr>
              <w:rPr>
                <w:highlight w:val="none"/>
              </w:rPr>
            </w:pPr>
          </w:p>
        </w:tc>
        <w:tc>
          <w:tcPr>
            <w:tcW w:w="1661" w:type="dxa"/>
          </w:tcPr>
          <w:p w14:paraId="49130E6E">
            <w:pPr>
              <w:rPr>
                <w:highlight w:val="none"/>
              </w:rPr>
            </w:pPr>
          </w:p>
        </w:tc>
        <w:tc>
          <w:tcPr>
            <w:tcW w:w="1661" w:type="dxa"/>
          </w:tcPr>
          <w:p w14:paraId="58A783F7">
            <w:pPr>
              <w:rPr>
                <w:highlight w:val="none"/>
              </w:rPr>
            </w:pPr>
          </w:p>
        </w:tc>
      </w:tr>
      <w:tr w14:paraId="500806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continue"/>
          </w:tcPr>
          <w:p w14:paraId="6442F7E1">
            <w:pPr>
              <w:rPr>
                <w:highlight w:val="none"/>
              </w:rPr>
            </w:pPr>
          </w:p>
        </w:tc>
        <w:tc>
          <w:tcPr>
            <w:tcW w:w="1661" w:type="dxa"/>
          </w:tcPr>
          <w:p w14:paraId="66B5AEF5">
            <w:pPr>
              <w:pStyle w:val="4"/>
              <w:jc w:val="left"/>
              <w:rPr>
                <w:highlight w:val="none"/>
              </w:rPr>
            </w:pPr>
            <w:r>
              <w:rPr>
                <w:rFonts w:ascii="仿宋_GB2312" w:hAnsi="仿宋_GB2312" w:eastAsia="仿宋_GB2312" w:cs="仿宋_GB2312"/>
                <w:highlight w:val="none"/>
              </w:rPr>
              <w:t>…</w:t>
            </w:r>
          </w:p>
        </w:tc>
        <w:tc>
          <w:tcPr>
            <w:tcW w:w="1661" w:type="dxa"/>
          </w:tcPr>
          <w:p w14:paraId="1FDC0059">
            <w:pPr>
              <w:rPr>
                <w:highlight w:val="none"/>
              </w:rPr>
            </w:pPr>
          </w:p>
        </w:tc>
        <w:tc>
          <w:tcPr>
            <w:tcW w:w="1661" w:type="dxa"/>
          </w:tcPr>
          <w:p w14:paraId="5646B71F">
            <w:pPr>
              <w:rPr>
                <w:highlight w:val="none"/>
              </w:rPr>
            </w:pPr>
          </w:p>
        </w:tc>
        <w:tc>
          <w:tcPr>
            <w:tcW w:w="1661" w:type="dxa"/>
          </w:tcPr>
          <w:p w14:paraId="118C276A">
            <w:pPr>
              <w:rPr>
                <w:highlight w:val="none"/>
              </w:rPr>
            </w:pPr>
          </w:p>
        </w:tc>
      </w:tr>
      <w:tr w14:paraId="03C192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3D36D647">
            <w:pPr>
              <w:pStyle w:val="4"/>
              <w:jc w:val="left"/>
              <w:rPr>
                <w:highlight w:val="none"/>
              </w:rPr>
            </w:pPr>
            <w:r>
              <w:rPr>
                <w:rFonts w:ascii="仿宋_GB2312" w:hAnsi="仿宋_GB2312" w:eastAsia="仿宋_GB2312" w:cs="仿宋_GB2312"/>
                <w:highlight w:val="none"/>
              </w:rPr>
              <w:t>…</w:t>
            </w:r>
          </w:p>
        </w:tc>
        <w:tc>
          <w:tcPr>
            <w:tcW w:w="1661" w:type="dxa"/>
          </w:tcPr>
          <w:p w14:paraId="175E299C">
            <w:pPr>
              <w:rPr>
                <w:highlight w:val="none"/>
              </w:rPr>
            </w:pPr>
          </w:p>
        </w:tc>
        <w:tc>
          <w:tcPr>
            <w:tcW w:w="1661" w:type="dxa"/>
          </w:tcPr>
          <w:p w14:paraId="7FBBD12B">
            <w:pPr>
              <w:rPr>
                <w:highlight w:val="none"/>
              </w:rPr>
            </w:pPr>
          </w:p>
        </w:tc>
        <w:tc>
          <w:tcPr>
            <w:tcW w:w="1661" w:type="dxa"/>
          </w:tcPr>
          <w:p w14:paraId="1B9BF2A2">
            <w:pPr>
              <w:rPr>
                <w:highlight w:val="none"/>
              </w:rPr>
            </w:pPr>
          </w:p>
        </w:tc>
        <w:tc>
          <w:tcPr>
            <w:tcW w:w="1661" w:type="dxa"/>
          </w:tcPr>
          <w:p w14:paraId="00A990F6">
            <w:pPr>
              <w:rPr>
                <w:highlight w:val="none"/>
              </w:rPr>
            </w:pPr>
          </w:p>
        </w:tc>
      </w:tr>
    </w:tbl>
    <w:p w14:paraId="06C291F4">
      <w:pPr>
        <w:pStyle w:val="4"/>
        <w:ind w:firstLine="480"/>
        <w:jc w:val="left"/>
        <w:rPr>
          <w:highlight w:val="none"/>
        </w:rPr>
      </w:pPr>
      <w:r>
        <w:rPr>
          <w:rFonts w:ascii="仿宋_GB2312" w:hAnsi="仿宋_GB2312" w:eastAsia="仿宋_GB2312" w:cs="仿宋_GB2312"/>
          <w:highlight w:val="none"/>
        </w:rPr>
        <w:t>※注意：</w:t>
      </w:r>
    </w:p>
    <w:p w14:paraId="2033EF8A">
      <w:pPr>
        <w:pStyle w:val="4"/>
        <w:ind w:firstLine="480"/>
        <w:jc w:val="left"/>
        <w:rPr>
          <w:highlight w:val="none"/>
        </w:rPr>
      </w:pPr>
      <w:r>
        <w:rPr>
          <w:rFonts w:ascii="仿宋_GB2312" w:hAnsi="仿宋_GB2312" w:eastAsia="仿宋_GB2312" w:cs="仿宋_GB2312"/>
          <w:highlight w:val="none"/>
        </w:rPr>
        <w:t>1、本表应按照下列规定填写：</w:t>
      </w:r>
    </w:p>
    <w:p w14:paraId="3E97E7C9">
      <w:pPr>
        <w:pStyle w:val="4"/>
        <w:ind w:firstLine="480"/>
        <w:jc w:val="left"/>
        <w:rPr>
          <w:highlight w:val="none"/>
        </w:rPr>
      </w:pPr>
      <w:r>
        <w:rPr>
          <w:rFonts w:ascii="仿宋_GB2312" w:hAnsi="仿宋_GB2312" w:eastAsia="仿宋_GB2312" w:cs="仿宋_GB2312"/>
          <w:highlight w:val="none"/>
        </w:rPr>
        <w:t>1.1“技术和服务要求”项下填写的内容应与招标文件第五章“技术和服务要求”的内容保持一致。</w:t>
      </w:r>
    </w:p>
    <w:p w14:paraId="3B3EAAF6">
      <w:pPr>
        <w:pStyle w:val="4"/>
        <w:ind w:firstLine="480"/>
        <w:jc w:val="left"/>
        <w:rPr>
          <w:highlight w:val="none"/>
        </w:rPr>
      </w:pPr>
      <w:r>
        <w:rPr>
          <w:rFonts w:ascii="仿宋_GB2312" w:hAnsi="仿宋_GB2312" w:eastAsia="仿宋_GB2312" w:cs="仿宋_GB2312"/>
          <w:highlight w:val="none"/>
        </w:rPr>
        <w:t>1.2“投标响应”项下应填写具体的响应内容并与“技术和服务要求”项下填写的内容逐项对应；对招标文件“技术和服务要求”项下涉及“≥或＞”、“≤或＜”及某个区间值范围内的内容，投标响应应填写具体的数值，但技术指标只能以范围作响应的除外。</w:t>
      </w:r>
    </w:p>
    <w:p w14:paraId="60694B75">
      <w:pPr>
        <w:pStyle w:val="4"/>
        <w:ind w:firstLine="480"/>
        <w:jc w:val="left"/>
        <w:rPr>
          <w:highlight w:val="none"/>
        </w:rPr>
      </w:pPr>
      <w:r>
        <w:rPr>
          <w:rFonts w:ascii="仿宋_GB2312" w:hAnsi="仿宋_GB2312" w:eastAsia="仿宋_GB2312" w:cs="仿宋_GB2312"/>
          <w:highlight w:val="none"/>
        </w:rPr>
        <w:t>1.3“是否偏离及说明”项下应按下列规定填写：优于的，填写“正偏离”；符合的，填写“无偏离”；低于的，填写“负偏离”。</w:t>
      </w:r>
    </w:p>
    <w:p w14:paraId="3EDC0FB0">
      <w:pPr>
        <w:pStyle w:val="4"/>
        <w:ind w:firstLine="480"/>
        <w:jc w:val="left"/>
        <w:rPr>
          <w:highlight w:val="none"/>
        </w:rPr>
      </w:pPr>
      <w:r>
        <w:rPr>
          <w:rFonts w:ascii="仿宋_GB2312" w:hAnsi="仿宋_GB2312" w:eastAsia="仿宋_GB2312" w:cs="仿宋_GB2312"/>
          <w:highlight w:val="none"/>
        </w:rPr>
        <w:t>2、投标人需要说明的内容若需特殊表达，应先在本表中进行相应说明，再另页应答，但应做好标注说明，方便评委查阅评审。未标注说明可能导致的不利的评审后果由投标人自行承担。</w:t>
      </w:r>
    </w:p>
    <w:p w14:paraId="7C7E26CF">
      <w:pPr>
        <w:pStyle w:val="4"/>
        <w:ind w:firstLine="480"/>
        <w:jc w:val="right"/>
        <w:rPr>
          <w:highlight w:val="none"/>
        </w:rPr>
      </w:pPr>
      <w:r>
        <w:rPr>
          <w:rFonts w:ascii="仿宋_GB2312" w:hAnsi="仿宋_GB2312" w:eastAsia="仿宋_GB2312" w:cs="仿宋_GB2312"/>
          <w:highlight w:val="none"/>
        </w:rPr>
        <w:t>投标人：</w:t>
      </w:r>
      <w:r>
        <w:rPr>
          <w:rFonts w:ascii="仿宋_GB2312" w:hAnsi="仿宋_GB2312" w:eastAsia="仿宋_GB2312" w:cs="仿宋_GB2312"/>
          <w:highlight w:val="none"/>
          <w:u w:val="single"/>
        </w:rPr>
        <w:t>（全称并加盖单位公章）</w:t>
      </w:r>
    </w:p>
    <w:p w14:paraId="718EF190">
      <w:pPr>
        <w:pStyle w:val="4"/>
        <w:ind w:firstLine="480"/>
        <w:jc w:val="right"/>
        <w:rPr>
          <w:highlight w:val="none"/>
        </w:rPr>
      </w:pPr>
      <w:r>
        <w:rPr>
          <w:rFonts w:ascii="仿宋_GB2312" w:hAnsi="仿宋_GB2312" w:eastAsia="仿宋_GB2312" w:cs="仿宋_GB2312"/>
          <w:highlight w:val="none"/>
        </w:rPr>
        <w:t>日期：</w:t>
      </w:r>
      <w:r>
        <w:rPr>
          <w:rFonts w:ascii="仿宋_GB2312" w:hAnsi="仿宋_GB2312" w:eastAsia="仿宋_GB2312" w:cs="仿宋_GB2312"/>
          <w:highlight w:val="none"/>
          <w:u w:val="single"/>
        </w:rPr>
        <w:t>　　年　　月　　日</w:t>
      </w:r>
    </w:p>
    <w:p w14:paraId="3EF7CC5E">
      <w:pPr>
        <w:pStyle w:val="4"/>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0D4BFD4F">
      <w:pPr>
        <w:pStyle w:val="4"/>
        <w:jc w:val="center"/>
        <w:outlineLvl w:val="2"/>
        <w:rPr>
          <w:highlight w:val="none"/>
        </w:rPr>
      </w:pPr>
      <w:r>
        <w:rPr>
          <w:rFonts w:ascii="仿宋_GB2312" w:hAnsi="仿宋_GB2312" w:eastAsia="仿宋_GB2312" w:cs="仿宋_GB2312"/>
          <w:b/>
          <w:sz w:val="28"/>
          <w:highlight w:val="none"/>
        </w:rPr>
        <w:t>三、商务条件响应表</w:t>
      </w:r>
    </w:p>
    <w:p w14:paraId="6E83235F">
      <w:pPr>
        <w:pStyle w:val="4"/>
        <w:ind w:firstLine="480"/>
        <w:jc w:val="left"/>
        <w:rPr>
          <w:highlight w:val="none"/>
        </w:rPr>
      </w:pPr>
      <w:r>
        <w:rPr>
          <w:rFonts w:ascii="仿宋_GB2312" w:hAnsi="仿宋_GB2312" w:eastAsia="仿宋_GB2312" w:cs="仿宋_GB2312"/>
          <w:highlight w:val="none"/>
        </w:rPr>
        <w:t>项目编号：</w:t>
      </w:r>
      <w:r>
        <w:rPr>
          <w:rFonts w:ascii="仿宋_GB2312" w:hAnsi="仿宋_GB2312" w:eastAsia="仿宋_GB2312" w:cs="仿宋_GB2312"/>
          <w:highlight w:val="none"/>
          <w:u w:val="single"/>
        </w:rPr>
        <w:t>　　　　　　　　</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1661"/>
      </w:tblGrid>
      <w:tr w14:paraId="38C238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49B28017">
            <w:pPr>
              <w:pStyle w:val="4"/>
              <w:jc w:val="left"/>
              <w:rPr>
                <w:highlight w:val="none"/>
              </w:rPr>
            </w:pPr>
            <w:r>
              <w:rPr>
                <w:rFonts w:ascii="仿宋_GB2312" w:hAnsi="仿宋_GB2312" w:eastAsia="仿宋_GB2312" w:cs="仿宋_GB2312"/>
                <w:highlight w:val="none"/>
              </w:rPr>
              <w:t>采购包</w:t>
            </w:r>
          </w:p>
        </w:tc>
        <w:tc>
          <w:tcPr>
            <w:tcW w:w="1661" w:type="dxa"/>
          </w:tcPr>
          <w:p w14:paraId="00353F1D">
            <w:pPr>
              <w:pStyle w:val="4"/>
              <w:jc w:val="left"/>
              <w:rPr>
                <w:highlight w:val="none"/>
              </w:rPr>
            </w:pPr>
            <w:r>
              <w:rPr>
                <w:rFonts w:ascii="仿宋_GB2312" w:hAnsi="仿宋_GB2312" w:eastAsia="仿宋_GB2312" w:cs="仿宋_GB2312"/>
                <w:highlight w:val="none"/>
              </w:rPr>
              <w:t>品目号</w:t>
            </w:r>
          </w:p>
        </w:tc>
        <w:tc>
          <w:tcPr>
            <w:tcW w:w="1661" w:type="dxa"/>
          </w:tcPr>
          <w:p w14:paraId="6F8313AB">
            <w:pPr>
              <w:pStyle w:val="4"/>
              <w:jc w:val="left"/>
              <w:rPr>
                <w:highlight w:val="none"/>
              </w:rPr>
            </w:pPr>
            <w:r>
              <w:rPr>
                <w:rFonts w:ascii="仿宋_GB2312" w:hAnsi="仿宋_GB2312" w:eastAsia="仿宋_GB2312" w:cs="仿宋_GB2312"/>
                <w:highlight w:val="none"/>
              </w:rPr>
              <w:t>商务条件</w:t>
            </w:r>
          </w:p>
        </w:tc>
        <w:tc>
          <w:tcPr>
            <w:tcW w:w="1661" w:type="dxa"/>
          </w:tcPr>
          <w:p w14:paraId="4D86E0FA">
            <w:pPr>
              <w:pStyle w:val="4"/>
              <w:jc w:val="left"/>
              <w:rPr>
                <w:highlight w:val="none"/>
              </w:rPr>
            </w:pPr>
            <w:r>
              <w:rPr>
                <w:rFonts w:ascii="仿宋_GB2312" w:hAnsi="仿宋_GB2312" w:eastAsia="仿宋_GB2312" w:cs="仿宋_GB2312"/>
                <w:highlight w:val="none"/>
              </w:rPr>
              <w:t>投标响应</w:t>
            </w:r>
          </w:p>
        </w:tc>
        <w:tc>
          <w:tcPr>
            <w:tcW w:w="1661" w:type="dxa"/>
          </w:tcPr>
          <w:p w14:paraId="694A57F4">
            <w:pPr>
              <w:pStyle w:val="4"/>
              <w:jc w:val="left"/>
              <w:rPr>
                <w:highlight w:val="none"/>
              </w:rPr>
            </w:pPr>
            <w:r>
              <w:rPr>
                <w:rFonts w:ascii="仿宋_GB2312" w:hAnsi="仿宋_GB2312" w:eastAsia="仿宋_GB2312" w:cs="仿宋_GB2312"/>
                <w:highlight w:val="none"/>
              </w:rPr>
              <w:t>是否偏离及说明</w:t>
            </w:r>
          </w:p>
        </w:tc>
      </w:tr>
      <w:tr w14:paraId="193FBE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restart"/>
          </w:tcPr>
          <w:p w14:paraId="2F997A28">
            <w:pPr>
              <w:pStyle w:val="4"/>
              <w:jc w:val="left"/>
              <w:rPr>
                <w:highlight w:val="none"/>
              </w:rPr>
            </w:pPr>
            <w:r>
              <w:rPr>
                <w:rFonts w:ascii="仿宋_GB2312" w:hAnsi="仿宋_GB2312" w:eastAsia="仿宋_GB2312" w:cs="仿宋_GB2312"/>
                <w:highlight w:val="none"/>
              </w:rPr>
              <w:t>*</w:t>
            </w:r>
          </w:p>
        </w:tc>
        <w:tc>
          <w:tcPr>
            <w:tcW w:w="1661" w:type="dxa"/>
          </w:tcPr>
          <w:p w14:paraId="69D437AB">
            <w:pPr>
              <w:pStyle w:val="4"/>
              <w:jc w:val="left"/>
              <w:rPr>
                <w:highlight w:val="none"/>
              </w:rPr>
            </w:pPr>
            <w:r>
              <w:rPr>
                <w:rFonts w:ascii="仿宋_GB2312" w:hAnsi="仿宋_GB2312" w:eastAsia="仿宋_GB2312" w:cs="仿宋_GB2312"/>
                <w:highlight w:val="none"/>
              </w:rPr>
              <w:t>*-1</w:t>
            </w:r>
          </w:p>
        </w:tc>
        <w:tc>
          <w:tcPr>
            <w:tcW w:w="1661" w:type="dxa"/>
          </w:tcPr>
          <w:p w14:paraId="3657C4A6">
            <w:pPr>
              <w:rPr>
                <w:highlight w:val="none"/>
              </w:rPr>
            </w:pPr>
          </w:p>
        </w:tc>
        <w:tc>
          <w:tcPr>
            <w:tcW w:w="1661" w:type="dxa"/>
          </w:tcPr>
          <w:p w14:paraId="7673539F">
            <w:pPr>
              <w:rPr>
                <w:highlight w:val="none"/>
              </w:rPr>
            </w:pPr>
          </w:p>
        </w:tc>
        <w:tc>
          <w:tcPr>
            <w:tcW w:w="1661" w:type="dxa"/>
          </w:tcPr>
          <w:p w14:paraId="6DB4AB8B">
            <w:pPr>
              <w:rPr>
                <w:highlight w:val="none"/>
              </w:rPr>
            </w:pPr>
          </w:p>
        </w:tc>
      </w:tr>
      <w:tr w14:paraId="54F250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continue"/>
          </w:tcPr>
          <w:p w14:paraId="69B13A51">
            <w:pPr>
              <w:rPr>
                <w:highlight w:val="none"/>
              </w:rPr>
            </w:pPr>
          </w:p>
        </w:tc>
        <w:tc>
          <w:tcPr>
            <w:tcW w:w="1661" w:type="dxa"/>
          </w:tcPr>
          <w:p w14:paraId="680A079B">
            <w:pPr>
              <w:pStyle w:val="4"/>
              <w:jc w:val="left"/>
              <w:rPr>
                <w:highlight w:val="none"/>
              </w:rPr>
            </w:pPr>
            <w:r>
              <w:rPr>
                <w:rFonts w:ascii="仿宋_GB2312" w:hAnsi="仿宋_GB2312" w:eastAsia="仿宋_GB2312" w:cs="仿宋_GB2312"/>
                <w:highlight w:val="none"/>
              </w:rPr>
              <w:t>…</w:t>
            </w:r>
          </w:p>
        </w:tc>
        <w:tc>
          <w:tcPr>
            <w:tcW w:w="1661" w:type="dxa"/>
          </w:tcPr>
          <w:p w14:paraId="34B03898">
            <w:pPr>
              <w:rPr>
                <w:highlight w:val="none"/>
              </w:rPr>
            </w:pPr>
          </w:p>
        </w:tc>
        <w:tc>
          <w:tcPr>
            <w:tcW w:w="1661" w:type="dxa"/>
          </w:tcPr>
          <w:p w14:paraId="62F273AF">
            <w:pPr>
              <w:rPr>
                <w:highlight w:val="none"/>
              </w:rPr>
            </w:pPr>
          </w:p>
        </w:tc>
        <w:tc>
          <w:tcPr>
            <w:tcW w:w="1661" w:type="dxa"/>
          </w:tcPr>
          <w:p w14:paraId="73CE3AE6">
            <w:pPr>
              <w:rPr>
                <w:highlight w:val="none"/>
              </w:rPr>
            </w:pPr>
          </w:p>
        </w:tc>
      </w:tr>
      <w:tr w14:paraId="2FE31B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6AF66BCC">
            <w:pPr>
              <w:pStyle w:val="4"/>
              <w:jc w:val="left"/>
              <w:rPr>
                <w:highlight w:val="none"/>
              </w:rPr>
            </w:pPr>
            <w:r>
              <w:rPr>
                <w:rFonts w:ascii="仿宋_GB2312" w:hAnsi="仿宋_GB2312" w:eastAsia="仿宋_GB2312" w:cs="仿宋_GB2312"/>
                <w:highlight w:val="none"/>
              </w:rPr>
              <w:t>…</w:t>
            </w:r>
          </w:p>
        </w:tc>
        <w:tc>
          <w:tcPr>
            <w:tcW w:w="1661" w:type="dxa"/>
          </w:tcPr>
          <w:p w14:paraId="25A0CD8C">
            <w:pPr>
              <w:rPr>
                <w:highlight w:val="none"/>
              </w:rPr>
            </w:pPr>
          </w:p>
        </w:tc>
        <w:tc>
          <w:tcPr>
            <w:tcW w:w="1661" w:type="dxa"/>
          </w:tcPr>
          <w:p w14:paraId="60C90ED7">
            <w:pPr>
              <w:rPr>
                <w:highlight w:val="none"/>
              </w:rPr>
            </w:pPr>
          </w:p>
        </w:tc>
        <w:tc>
          <w:tcPr>
            <w:tcW w:w="1661" w:type="dxa"/>
          </w:tcPr>
          <w:p w14:paraId="0086F9A5">
            <w:pPr>
              <w:rPr>
                <w:highlight w:val="none"/>
              </w:rPr>
            </w:pPr>
          </w:p>
        </w:tc>
        <w:tc>
          <w:tcPr>
            <w:tcW w:w="1661" w:type="dxa"/>
          </w:tcPr>
          <w:p w14:paraId="7D884449">
            <w:pPr>
              <w:rPr>
                <w:highlight w:val="none"/>
              </w:rPr>
            </w:pPr>
          </w:p>
        </w:tc>
      </w:tr>
    </w:tbl>
    <w:p w14:paraId="18B04249">
      <w:pPr>
        <w:pStyle w:val="4"/>
        <w:ind w:firstLine="480"/>
        <w:jc w:val="left"/>
        <w:rPr>
          <w:highlight w:val="none"/>
        </w:rPr>
      </w:pPr>
      <w:r>
        <w:rPr>
          <w:rFonts w:ascii="仿宋_GB2312" w:hAnsi="仿宋_GB2312" w:eastAsia="仿宋_GB2312" w:cs="仿宋_GB2312"/>
          <w:highlight w:val="none"/>
        </w:rPr>
        <w:t>※注意：</w:t>
      </w:r>
    </w:p>
    <w:p w14:paraId="4B6EAEE8">
      <w:pPr>
        <w:pStyle w:val="4"/>
        <w:ind w:firstLine="480"/>
        <w:jc w:val="left"/>
        <w:rPr>
          <w:highlight w:val="none"/>
        </w:rPr>
      </w:pPr>
      <w:r>
        <w:rPr>
          <w:rFonts w:ascii="仿宋_GB2312" w:hAnsi="仿宋_GB2312" w:eastAsia="仿宋_GB2312" w:cs="仿宋_GB2312"/>
          <w:highlight w:val="none"/>
        </w:rPr>
        <w:t>1、本表应按照下列规定填写：</w:t>
      </w:r>
    </w:p>
    <w:p w14:paraId="3A6926D7">
      <w:pPr>
        <w:pStyle w:val="4"/>
        <w:ind w:firstLine="480"/>
        <w:jc w:val="left"/>
        <w:rPr>
          <w:highlight w:val="none"/>
        </w:rPr>
      </w:pPr>
      <w:r>
        <w:rPr>
          <w:rFonts w:ascii="仿宋_GB2312" w:hAnsi="仿宋_GB2312" w:eastAsia="仿宋_GB2312" w:cs="仿宋_GB2312"/>
          <w:highlight w:val="none"/>
        </w:rPr>
        <w:t>1.1“商务条件”项下填写的内容应与招标文件第五章“商务条件”的内容保持一致。</w:t>
      </w:r>
    </w:p>
    <w:p w14:paraId="3B5DDC24">
      <w:pPr>
        <w:pStyle w:val="4"/>
        <w:ind w:firstLine="480"/>
        <w:jc w:val="left"/>
        <w:rPr>
          <w:highlight w:val="none"/>
        </w:rPr>
      </w:pPr>
      <w:r>
        <w:rPr>
          <w:rFonts w:ascii="仿宋_GB2312" w:hAnsi="仿宋_GB2312" w:eastAsia="仿宋_GB2312" w:cs="仿宋_GB2312"/>
          <w:highlight w:val="none"/>
        </w:rPr>
        <w:t>1.2“投标响应”项下应填写具体的响应内容并与“商务条件”项下填写的内容逐项对应；对“商务条件”项下涉及“≥或＞”、“≤或＜”及某个区间值范围内的内容，应填写具体的数值。</w:t>
      </w:r>
    </w:p>
    <w:p w14:paraId="74349CDD">
      <w:pPr>
        <w:pStyle w:val="4"/>
        <w:ind w:firstLine="480"/>
        <w:jc w:val="left"/>
        <w:rPr>
          <w:highlight w:val="none"/>
        </w:rPr>
      </w:pPr>
      <w:r>
        <w:rPr>
          <w:rFonts w:ascii="仿宋_GB2312" w:hAnsi="仿宋_GB2312" w:eastAsia="仿宋_GB2312" w:cs="仿宋_GB2312"/>
          <w:highlight w:val="none"/>
        </w:rPr>
        <w:t>1.3“是否偏离及说明”项下应按下列规定填写：优于的，填写“正偏离”；符合的，填写“无偏离”；低于的，填写“负偏离”。</w:t>
      </w:r>
    </w:p>
    <w:p w14:paraId="71FD152B">
      <w:pPr>
        <w:pStyle w:val="4"/>
        <w:ind w:firstLine="480"/>
        <w:jc w:val="left"/>
        <w:rPr>
          <w:highlight w:val="none"/>
        </w:rPr>
      </w:pPr>
      <w:r>
        <w:rPr>
          <w:rFonts w:ascii="仿宋_GB2312" w:hAnsi="仿宋_GB2312" w:eastAsia="仿宋_GB2312" w:cs="仿宋_GB2312"/>
          <w:highlight w:val="none"/>
        </w:rPr>
        <w:t>2、投标人需要说明的内容若需特殊表达，应先在本表中进行相应说明，再另页应答，但应做好标注说明，方便评委查阅评审。未标注说明可能导致的不利的评审后果由投标人自行承担。</w:t>
      </w:r>
    </w:p>
    <w:p w14:paraId="508120CA">
      <w:pPr>
        <w:pStyle w:val="4"/>
        <w:ind w:firstLine="480"/>
        <w:jc w:val="right"/>
        <w:rPr>
          <w:highlight w:val="none"/>
        </w:rPr>
      </w:pPr>
      <w:r>
        <w:rPr>
          <w:rFonts w:ascii="仿宋_GB2312" w:hAnsi="仿宋_GB2312" w:eastAsia="仿宋_GB2312" w:cs="仿宋_GB2312"/>
          <w:highlight w:val="none"/>
        </w:rPr>
        <w:t>投标人：</w:t>
      </w:r>
      <w:r>
        <w:rPr>
          <w:rFonts w:ascii="仿宋_GB2312" w:hAnsi="仿宋_GB2312" w:eastAsia="仿宋_GB2312" w:cs="仿宋_GB2312"/>
          <w:highlight w:val="none"/>
          <w:u w:val="single"/>
        </w:rPr>
        <w:t>（全称并加盖单位公章）</w:t>
      </w:r>
    </w:p>
    <w:p w14:paraId="581951D8">
      <w:pPr>
        <w:pStyle w:val="4"/>
        <w:ind w:firstLine="480"/>
        <w:jc w:val="right"/>
        <w:rPr>
          <w:highlight w:val="none"/>
        </w:rPr>
      </w:pPr>
      <w:r>
        <w:rPr>
          <w:rFonts w:ascii="仿宋_GB2312" w:hAnsi="仿宋_GB2312" w:eastAsia="仿宋_GB2312" w:cs="仿宋_GB2312"/>
          <w:highlight w:val="none"/>
        </w:rPr>
        <w:t>日期：</w:t>
      </w:r>
      <w:r>
        <w:rPr>
          <w:rFonts w:ascii="仿宋_GB2312" w:hAnsi="仿宋_GB2312" w:eastAsia="仿宋_GB2312" w:cs="仿宋_GB2312"/>
          <w:highlight w:val="none"/>
          <w:u w:val="single"/>
        </w:rPr>
        <w:t>　　年　　月　　日</w:t>
      </w:r>
    </w:p>
    <w:p w14:paraId="3DDB0B4A">
      <w:pPr>
        <w:pStyle w:val="4"/>
        <w:rPr>
          <w:highlight w:val="none"/>
        </w:rPr>
      </w:pPr>
      <w:r>
        <w:rPr>
          <w:rFonts w:ascii="仿宋_GB2312" w:hAnsi="仿宋_GB2312" w:eastAsia="仿宋_GB2312" w:cs="仿宋_GB2312"/>
          <w:highlight w:val="none"/>
        </w:rPr>
        <w:t xml:space="preserve"> </w:t>
      </w:r>
      <w:r>
        <w:rPr>
          <w:rFonts w:ascii="仿宋_GB2312" w:hAnsi="仿宋_GB2312" w:eastAsia="仿宋_GB2312" w:cs="仿宋_GB2312"/>
          <w:highlight w:val="none"/>
        </w:rPr>
        <w:br w:type="textWrapping"/>
      </w:r>
      <w:r>
        <w:rPr>
          <w:rFonts w:ascii="仿宋_GB2312" w:hAnsi="仿宋_GB2312" w:eastAsia="仿宋_GB2312" w:cs="仿宋_GB2312"/>
          <w:highlight w:val="none"/>
        </w:rPr>
        <w:br w:type="page"/>
      </w:r>
    </w:p>
    <w:p w14:paraId="0904C7B4">
      <w:pPr>
        <w:pStyle w:val="4"/>
        <w:jc w:val="center"/>
        <w:outlineLvl w:val="2"/>
        <w:rPr>
          <w:highlight w:val="none"/>
        </w:rPr>
      </w:pPr>
      <w:r>
        <w:rPr>
          <w:rFonts w:ascii="仿宋_GB2312" w:hAnsi="仿宋_GB2312" w:eastAsia="仿宋_GB2312" w:cs="仿宋_GB2312"/>
          <w:b/>
          <w:sz w:val="28"/>
          <w:highlight w:val="none"/>
        </w:rPr>
        <w:t>四、投标人提交的其他资料（若有）</w:t>
      </w:r>
    </w:p>
    <w:p w14:paraId="5AD7F551">
      <w:pPr>
        <w:pStyle w:val="4"/>
        <w:ind w:firstLine="480"/>
        <w:jc w:val="center"/>
        <w:rPr>
          <w:highlight w:val="none"/>
        </w:rPr>
      </w:pPr>
      <w:r>
        <w:rPr>
          <w:rFonts w:ascii="仿宋_GB2312" w:hAnsi="仿宋_GB2312" w:eastAsia="仿宋_GB2312" w:cs="仿宋_GB2312"/>
          <w:highlight w:val="none"/>
        </w:rPr>
        <w:t>编制说明</w:t>
      </w:r>
    </w:p>
    <w:p w14:paraId="351B35A3">
      <w:pPr>
        <w:pStyle w:val="4"/>
        <w:ind w:firstLine="480"/>
        <w:jc w:val="left"/>
        <w:rPr>
          <w:highlight w:val="none"/>
        </w:rPr>
      </w:pPr>
      <w:r>
        <w:rPr>
          <w:rFonts w:ascii="仿宋_GB2312" w:hAnsi="仿宋_GB2312" w:eastAsia="仿宋_GB2312" w:cs="仿宋_GB2312"/>
          <w:highlight w:val="none"/>
        </w:rPr>
        <w:t>1、招标文件要求提交的除“资格及资信证明部分”、“报价部分”外的其他证明材料或资料加盖投标人的单位公章后应在此项下提交。</w:t>
      </w:r>
    </w:p>
    <w:p w14:paraId="17EB9ADB">
      <w:pPr>
        <w:pStyle w:val="4"/>
        <w:ind w:firstLine="480"/>
        <w:jc w:val="left"/>
        <w:rPr>
          <w:highlight w:val="none"/>
        </w:rPr>
      </w:pPr>
      <w:r>
        <w:rPr>
          <w:rFonts w:ascii="仿宋_GB2312" w:hAnsi="仿宋_GB2312" w:eastAsia="仿宋_GB2312" w:cs="仿宋_GB2312"/>
          <w:highlight w:val="none"/>
        </w:rPr>
        <w:t>2、招标文件要求投标人提供方案（包括但不限于：组织、实施、技术、服务方案等）的，投标人应在此项下提交。</w:t>
      </w:r>
    </w:p>
    <w:p w14:paraId="325D4881">
      <w:pPr>
        <w:pStyle w:val="4"/>
        <w:ind w:firstLine="480"/>
        <w:jc w:val="left"/>
        <w:rPr>
          <w:highlight w:val="none"/>
        </w:rPr>
      </w:pPr>
      <w:r>
        <w:rPr>
          <w:rFonts w:ascii="仿宋_GB2312" w:hAnsi="仿宋_GB2312" w:eastAsia="仿宋_GB2312" w:cs="仿宋_GB2312"/>
          <w:highlight w:val="none"/>
        </w:rPr>
        <w:t>3、除招标文件另有规定外，投标人认为需要提交的其他证明材料或资料加盖投标人的单位公章后应在此项下提交。</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singleLevel"/>
    <w:tmpl w:val="0053208E"/>
    <w:lvl w:ilvl="0" w:tentative="0">
      <w:start w:val="1"/>
      <w:numFmt w:val="decimal"/>
      <w:lvlText w:val="%1."/>
      <w:lvlJc w:val="left"/>
      <w:pPr>
        <w:ind w:left="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0MTQwMTcxOWEwMDI2YWVhYWYyN2E0YjJiYzk5MjgifQ=="/>
  </w:docVars>
  <w:rsids>
    <w:rsidRoot w:val="53B52B8D"/>
    <w:rsid w:val="177F50ED"/>
    <w:rsid w:val="20F54952"/>
    <w:rsid w:val="384F0C8B"/>
    <w:rsid w:val="53B52B8D"/>
    <w:rsid w:val="6A9620FF"/>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paragraph" w:customStyle="1" w:styleId="4">
    <w:name w:val="null3"/>
    <w:hidden/>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111</Pages>
  <Words>1176</Words>
  <Characters>1349</Characters>
  <Lines>0</Lines>
  <Paragraphs>0</Paragraphs>
  <TotalTime>44</TotalTime>
  <ScaleCrop>false</ScaleCrop>
  <LinksUpToDate>false</LinksUpToDate>
  <CharactersWithSpaces>1373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2022-04-08T19:57:00Z</dcterms:created>
  <dc:creator>administrator</dc:creator>
  <cp:lastModifiedBy>e</cp:lastModifiedBy>
  <dcterms:modified xsi:type="dcterms:W3CDTF">2025-07-03T10:32:24Z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1DF11BE3B0614F7593793AC4C15C213C_12</vt:lpwstr>
  </property>
  <property fmtid="{D5CDD505-2E9C-101B-9397-08002B2CF9AE}" pid="4" name="KSOTemplateDocerSaveRecord">
    <vt:lpwstr>eyJoZGlkIjoiNWY4YWU2ODNiNzFiODQyMTM0ZjYwODgyM2JiMDJjMTgifQ==</vt:lpwstr>
  </property>
</Properties>
</file>