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180" w:beforeAutospacing="0" w:after="180" w:afterAutospacing="0"/>
        <w:contextualSpacing/>
        <w:rPr>
          <w:rFonts w:hint="eastAsia" w:ascii="仿宋" w:hAnsi="仿宋" w:eastAsia="仿宋" w:cs="仿宋_GB2312"/>
          <w:color w:val="323232"/>
          <w:sz w:val="32"/>
          <w:szCs w:val="32"/>
        </w:rPr>
      </w:pPr>
      <w:r>
        <w:rPr>
          <w:rFonts w:hint="eastAsia" w:ascii="仿宋" w:hAnsi="仿宋" w:eastAsia="仿宋" w:cs="仿宋_GB2312"/>
          <w:color w:val="323232"/>
          <w:sz w:val="32"/>
          <w:szCs w:val="32"/>
        </w:rPr>
        <w:t>附表</w:t>
      </w:r>
    </w:p>
    <w:p>
      <w:pPr>
        <w:pStyle w:val="2"/>
        <w:spacing w:before="180" w:beforeAutospacing="0" w:after="180" w:afterAutospacing="0"/>
        <w:contextualSpacing/>
        <w:jc w:val="center"/>
        <w:rPr>
          <w:rFonts w:hint="eastAsia" w:cs="仿宋_GB2312"/>
          <w:b/>
          <w:color w:val="323232"/>
          <w:sz w:val="36"/>
          <w:szCs w:val="36"/>
        </w:rPr>
      </w:pPr>
      <w:bookmarkStart w:id="0" w:name="_GoBack"/>
      <w:r>
        <w:rPr>
          <w:rFonts w:hint="eastAsia" w:cs="仿宋_GB2312"/>
          <w:b/>
          <w:color w:val="323232"/>
          <w:sz w:val="36"/>
          <w:szCs w:val="36"/>
        </w:rPr>
        <w:t>各类固定资产折旧年限表</w:t>
      </w:r>
    </w:p>
    <w:bookmarkEnd w:id="0"/>
    <w:p>
      <w:pPr>
        <w:pStyle w:val="2"/>
        <w:spacing w:before="180" w:beforeAutospacing="0" w:after="180" w:afterAutospacing="0"/>
        <w:contextualSpacing/>
        <w:jc w:val="center"/>
        <w:rPr>
          <w:rFonts w:hint="eastAsia" w:cs="仿宋_GB2312"/>
          <w:color w:val="323232"/>
          <w:sz w:val="32"/>
          <w:szCs w:val="32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1"/>
        <w:gridCol w:w="1136"/>
        <w:gridCol w:w="1783"/>
        <w:gridCol w:w="2375"/>
        <w:gridCol w:w="17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0" w:type="auto"/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固定资产</w:t>
            </w:r>
          </w:p>
          <w:p>
            <w:pPr>
              <w:widowControl/>
              <w:contextualSpacing/>
              <w:jc w:val="center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类别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内容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财政折旧年限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4"/>
              </w:rPr>
              <w:t>（</w:t>
            </w:r>
            <w:r>
              <w:rPr>
                <w:rFonts w:ascii="仿宋" w:hAnsi="仿宋" w:eastAsia="仿宋"/>
                <w:b/>
                <w:bCs/>
                <w:kern w:val="0"/>
                <w:sz w:val="24"/>
              </w:rPr>
              <w:t>年</w:t>
            </w:r>
            <w:r>
              <w:rPr>
                <w:rFonts w:hint="eastAsia" w:ascii="仿宋" w:hAnsi="仿宋" w:eastAsia="仿宋"/>
                <w:b/>
                <w:bCs/>
                <w:kern w:val="0"/>
                <w:sz w:val="24"/>
              </w:rPr>
              <w:t>）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仿宋" w:hAnsi="仿宋" w:eastAsia="仿宋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4"/>
              </w:rPr>
              <w:t>折旧年限（年）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restart"/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房屋及构筑物</w:t>
            </w:r>
          </w:p>
        </w:tc>
        <w:tc>
          <w:tcPr>
            <w:tcW w:w="0" w:type="auto"/>
            <w:vMerge w:val="restart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业务及</w:t>
            </w:r>
          </w:p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管理用房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钢结构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不低于50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钢筋混凝土结构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不低于50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砖混结构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不低于30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砖木结构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不低于30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简易房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不低于8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房屋附属设施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不低于8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构筑物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不低于8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restart"/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通用设备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计算机设备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不低于6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办公设备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不低于6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车辆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不低于8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图书档案设备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机械设备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不低于10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电气设备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雷达、无线电和卫星导航设备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不低于10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通信设备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广播、电视、电影设备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仪器仪表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电子和通信测量设备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计量标准器具及量具、衡器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0" w:type="auto"/>
            <w:vMerge w:val="restart"/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专用设备</w:t>
            </w:r>
          </w:p>
        </w:tc>
        <w:tc>
          <w:tcPr>
            <w:tcW w:w="2874" w:type="dxa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工程机械</w:t>
            </w:r>
          </w:p>
        </w:tc>
        <w:tc>
          <w:tcPr>
            <w:tcW w:w="2375" w:type="dxa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食品加工专用设备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饮料加工设备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造纸和印刷机械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20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化学药品和中药专用设备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医疗设备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电工、电子专用生产设备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安全生产设备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20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color w:val="000000"/>
                <w:kern w:val="0"/>
                <w:sz w:val="24"/>
              </w:rPr>
            </w:pPr>
            <w:r>
              <w:rPr>
                <w:rFonts w:ascii="仿宋" w:hAnsi="仿宋" w:eastAsia="仿宋"/>
                <w:color w:val="000000"/>
                <w:kern w:val="0"/>
                <w:sz w:val="24"/>
              </w:rPr>
              <w:t>邮政专用设备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环境污染防治设备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20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公安专用设备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3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水工机械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20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铁路运输设备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20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水上交通运输设备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20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航空器及其配套设备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10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20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专用仪器仪表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10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文艺设备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体育设备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娱乐设备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5</w:t>
            </w:r>
            <w:r>
              <w:rPr>
                <w:rFonts w:hint="eastAsia" w:ascii="仿宋" w:hAnsi="仿宋" w:eastAsia="仿宋"/>
                <w:kern w:val="0"/>
                <w:sz w:val="24"/>
              </w:rPr>
              <w:t>-</w:t>
            </w:r>
            <w:r>
              <w:rPr>
                <w:rFonts w:ascii="仿宋" w:hAnsi="仿宋" w:eastAsia="仿宋"/>
                <w:kern w:val="0"/>
                <w:sz w:val="24"/>
              </w:rPr>
              <w:t>15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vMerge w:val="restart"/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家具、</w:t>
            </w:r>
          </w:p>
          <w:p>
            <w:pPr>
              <w:widowControl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用具及装具</w:t>
            </w: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家具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不低于15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" w:hRule="atLeast"/>
        </w:trPr>
        <w:tc>
          <w:tcPr>
            <w:tcW w:w="0" w:type="auto"/>
            <w:vMerge w:val="continue"/>
            <w:noWrap w:val="0"/>
            <w:vAlign w:val="center"/>
          </w:tcPr>
          <w:p>
            <w:pPr>
              <w:widowControl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用具、装具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不低于5</w:t>
            </w:r>
          </w:p>
        </w:tc>
        <w:tc>
          <w:tcPr>
            <w:tcW w:w="0" w:type="auto"/>
            <w:noWrap w:val="0"/>
            <w:vAlign w:val="center"/>
          </w:tcPr>
          <w:p>
            <w:pPr>
              <w:snapToGrid w:val="0"/>
              <w:spacing w:line="400" w:lineRule="atLeast"/>
              <w:contextualSpacing/>
              <w:jc w:val="center"/>
              <w:rPr>
                <w:rFonts w:hint="eastAsia"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3MDc4NWU4NTZlNzcxZGQ3MzlkNDFhMThjYTMzMGYifQ=="/>
  </w:docVars>
  <w:rsids>
    <w:rsidRoot w:val="012A5461"/>
    <w:rsid w:val="012A5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2023-06-02T09:06:00Z</dcterms:created>
  <dc:creator>YOYO</dc:creator>
  <cp:lastModifiedBy>YOYO</cp:lastModifiedBy>
  <dcterms:modified xsi:type="dcterms:W3CDTF">2023-06-02T09:07:00Z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A7BEB6A79534434B8FE14B5637723646_11</vt:lpwstr>
  </property>
</Properties>
</file>