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ascii="仿宋" w:hAnsi="仿宋" w:eastAsia="仿宋" w:cs="仿宋"/>
          <w:sz w:val="24"/>
          <w:szCs w:val="24"/>
        </w:rPr>
      </w:pPr>
      <w:r>
        <w:rPr>
          <w:rFonts w:hint="eastAsia" w:ascii="仿宋" w:hAnsi="仿宋" w:eastAsia="仿宋" w:cs="仿宋"/>
          <w:sz w:val="24"/>
          <w:szCs w:val="24"/>
        </w:rPr>
        <w:t>附件3</w:t>
      </w:r>
    </w:p>
    <w:p>
      <w:pPr>
        <w:bidi w:val="0"/>
        <w:jc w:val="center"/>
        <w:rPr>
          <w:rFonts w:hint="eastAsia" w:ascii="仿宋" w:hAnsi="仿宋" w:eastAsia="仿宋" w:cs="仿宋"/>
          <w:sz w:val="28"/>
          <w:szCs w:val="28"/>
        </w:rPr>
      </w:pPr>
      <w:r>
        <w:rPr>
          <w:rFonts w:hint="eastAsia" w:ascii="仿宋" w:hAnsi="仿宋" w:eastAsia="仿宋" w:cs="仿宋"/>
          <w:sz w:val="28"/>
          <w:szCs w:val="28"/>
        </w:rPr>
        <w:t>预算绩效考评评价表</w:t>
      </w:r>
    </w:p>
    <w:p>
      <w:pPr>
        <w:bidi w:val="0"/>
        <w:jc w:val="center"/>
        <w:rPr>
          <w:rFonts w:hint="eastAsia" w:ascii="仿宋" w:hAnsi="仿宋" w:eastAsia="仿宋" w:cs="仿宋"/>
          <w:sz w:val="28"/>
          <w:szCs w:val="28"/>
        </w:rPr>
      </w:pPr>
      <w:r>
        <w:rPr>
          <w:rFonts w:hint="eastAsia" w:ascii="仿宋" w:hAnsi="仿宋" w:eastAsia="仿宋" w:cs="仿宋"/>
          <w:sz w:val="28"/>
          <w:szCs w:val="28"/>
        </w:rPr>
        <w:t>（财务处评价表）</w:t>
      </w:r>
      <w:bookmarkStart w:id="0" w:name="_GoBack"/>
      <w:bookmarkEnd w:id="0"/>
    </w:p>
    <w:p>
      <w:pPr>
        <w:bidi w:val="0"/>
        <w:jc w:val="center"/>
        <w:rPr>
          <w:rFonts w:hint="eastAsia" w:ascii="仿宋" w:hAnsi="仿宋" w:eastAsia="仿宋" w:cs="仿宋"/>
          <w:sz w:val="28"/>
          <w:szCs w:val="28"/>
        </w:rPr>
      </w:pPr>
      <w:r>
        <w:rPr>
          <w:rFonts w:hint="eastAsia" w:ascii="仿宋" w:hAnsi="仿宋" w:eastAsia="仿宋" w:cs="仿宋"/>
          <w:sz w:val="28"/>
          <w:szCs w:val="28"/>
        </w:rPr>
        <w:t>（20</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年度）</w:t>
      </w:r>
    </w:p>
    <w:tbl>
      <w:tblPr>
        <w:tblStyle w:val="3"/>
        <w:tblW w:w="99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554"/>
        <w:gridCol w:w="885"/>
        <w:gridCol w:w="1377"/>
        <w:gridCol w:w="870"/>
        <w:gridCol w:w="974"/>
        <w:gridCol w:w="1124"/>
        <w:gridCol w:w="41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80" w:hRule="atLeast"/>
          <w:jc w:val="center"/>
        </w:trPr>
        <w:tc>
          <w:tcPr>
            <w:tcW w:w="554"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年度部门目标</w:t>
            </w:r>
          </w:p>
        </w:tc>
        <w:tc>
          <w:tcPr>
            <w:tcW w:w="885"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预算经费（万元）</w:t>
            </w:r>
          </w:p>
        </w:tc>
        <w:tc>
          <w:tcPr>
            <w:tcW w:w="1377"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87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年度完成</w:t>
            </w:r>
            <w:r>
              <w:rPr>
                <w:rFonts w:hint="eastAsia" w:ascii="宋体" w:hAnsi="宋体" w:eastAsia="宋体" w:cs="宋体"/>
                <w:sz w:val="19"/>
                <w:szCs w:val="19"/>
              </w:rPr>
              <w:br w:type="textWrapping"/>
            </w:r>
            <w:r>
              <w:rPr>
                <w:rFonts w:hint="default" w:ascii="仿宋_gb2312" w:hAnsi="仿宋_gb2312" w:eastAsia="仿宋_gb2312" w:cs="仿宋_gb2312"/>
                <w:sz w:val="19"/>
                <w:szCs w:val="19"/>
              </w:rPr>
              <w:t>经费（万元）</w:t>
            </w:r>
          </w:p>
        </w:tc>
        <w:tc>
          <w:tcPr>
            <w:tcW w:w="974"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1124"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说明</w:t>
            </w:r>
          </w:p>
        </w:tc>
        <w:tc>
          <w:tcPr>
            <w:tcW w:w="4161" w:type="dxa"/>
            <w:tcBorders>
              <w:top w:val="single" w:color="000000" w:sz="6" w:space="0"/>
              <w:left w:val="single" w:color="000000" w:sz="6" w:space="0"/>
              <w:bottom w:val="single" w:color="000000" w:sz="6" w:space="0"/>
              <w:right w:val="single" w:color="000000" w:sz="6" w:space="0"/>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0" w:hRule="atLeast"/>
          <w:jc w:val="center"/>
        </w:trPr>
        <w:tc>
          <w:tcPr>
            <w:tcW w:w="554" w:type="dxa"/>
            <w:vMerge w:val="restart"/>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绩</w:t>
            </w:r>
            <w:r>
              <w:rPr>
                <w:rFonts w:hint="eastAsia" w:ascii="宋体" w:hAnsi="宋体" w:eastAsia="宋体" w:cs="宋体"/>
                <w:sz w:val="19"/>
                <w:szCs w:val="19"/>
              </w:rPr>
              <w:br w:type="textWrapping"/>
            </w:r>
            <w:r>
              <w:rPr>
                <w:rFonts w:hint="default" w:ascii="仿宋_gb2312" w:hAnsi="仿宋_gb2312" w:eastAsia="仿宋_gb2312" w:cs="仿宋_gb2312"/>
                <w:sz w:val="19"/>
                <w:szCs w:val="19"/>
              </w:rPr>
              <w:t>效</w:t>
            </w:r>
            <w:r>
              <w:rPr>
                <w:rFonts w:hint="eastAsia" w:ascii="宋体" w:hAnsi="宋体" w:eastAsia="宋体" w:cs="宋体"/>
                <w:sz w:val="19"/>
                <w:szCs w:val="19"/>
              </w:rPr>
              <w:br w:type="textWrapping"/>
            </w:r>
            <w:r>
              <w:rPr>
                <w:rFonts w:hint="default" w:ascii="仿宋_gb2312" w:hAnsi="仿宋_gb2312" w:eastAsia="仿宋_gb2312" w:cs="仿宋_gb2312"/>
                <w:sz w:val="19"/>
                <w:szCs w:val="19"/>
              </w:rPr>
              <w:t>目</w:t>
            </w:r>
            <w:r>
              <w:rPr>
                <w:rFonts w:hint="eastAsia" w:ascii="宋体" w:hAnsi="宋体" w:eastAsia="宋体" w:cs="宋体"/>
                <w:sz w:val="19"/>
                <w:szCs w:val="19"/>
              </w:rPr>
              <w:br w:type="textWrapping"/>
            </w:r>
            <w:r>
              <w:rPr>
                <w:rFonts w:hint="default" w:ascii="仿宋_gb2312" w:hAnsi="仿宋_gb2312" w:eastAsia="仿宋_gb2312" w:cs="仿宋_gb2312"/>
                <w:sz w:val="19"/>
                <w:szCs w:val="19"/>
              </w:rPr>
              <w:t>标</w:t>
            </w:r>
          </w:p>
        </w:tc>
        <w:tc>
          <w:tcPr>
            <w:tcW w:w="885"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考评指标</w:t>
            </w:r>
          </w:p>
        </w:tc>
        <w:tc>
          <w:tcPr>
            <w:tcW w:w="1377"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具体事项</w:t>
            </w:r>
          </w:p>
        </w:tc>
        <w:tc>
          <w:tcPr>
            <w:tcW w:w="87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计划或目标值（A)</w:t>
            </w:r>
          </w:p>
        </w:tc>
        <w:tc>
          <w:tcPr>
            <w:tcW w:w="974"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sz w:val="21"/>
                <w:szCs w:val="21"/>
              </w:rPr>
            </w:pPr>
            <w:r>
              <w:rPr>
                <w:rFonts w:hint="default" w:ascii="仿宋_gb2312" w:hAnsi="仿宋_gb2312" w:eastAsia="仿宋_gb2312" w:cs="仿宋_gb2312"/>
                <w:sz w:val="19"/>
                <w:szCs w:val="19"/>
              </w:rPr>
              <w:t>实际完成情况(B）</w:t>
            </w:r>
          </w:p>
        </w:tc>
        <w:tc>
          <w:tcPr>
            <w:tcW w:w="1124"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sz w:val="21"/>
                <w:szCs w:val="21"/>
              </w:rPr>
            </w:pPr>
            <w:r>
              <w:rPr>
                <w:rFonts w:hint="default" w:ascii="仿宋_gb2312" w:hAnsi="仿宋_gb2312" w:eastAsia="仿宋_gb2312" w:cs="仿宋_gb2312"/>
                <w:sz w:val="19"/>
                <w:szCs w:val="19"/>
              </w:rPr>
              <w:t>评价分（40%）</w:t>
            </w:r>
          </w:p>
        </w:tc>
        <w:tc>
          <w:tcPr>
            <w:tcW w:w="4161" w:type="dxa"/>
            <w:tcBorders>
              <w:top w:val="nil"/>
              <w:left w:val="single" w:color="000000" w:sz="6" w:space="0"/>
              <w:bottom w:val="single" w:color="000000" w:sz="6" w:space="0"/>
              <w:right w:val="single" w:color="000000" w:sz="6" w:space="0"/>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firstLine="195"/>
              <w:jc w:val="center"/>
              <w:textAlignment w:val="top"/>
              <w:rPr>
                <w:rFonts w:hint="eastAsia" w:ascii="宋体" w:hAnsi="宋体" w:eastAsia="宋体" w:cs="宋体"/>
                <w:sz w:val="21"/>
                <w:szCs w:val="21"/>
              </w:rPr>
            </w:pPr>
            <w:r>
              <w:rPr>
                <w:rFonts w:hint="default" w:ascii="仿宋_gb2312" w:hAnsi="仿宋_gb2312" w:eastAsia="仿宋_gb2312" w:cs="仿宋_gb2312"/>
                <w:sz w:val="19"/>
                <w:szCs w:val="19"/>
              </w:rPr>
              <w:t>指标计算说明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jc w:val="center"/>
        </w:trPr>
        <w:tc>
          <w:tcPr>
            <w:tcW w:w="554" w:type="dxa"/>
            <w:vMerge w:val="continue"/>
            <w:tcBorders>
              <w:top w:val="single" w:color="000000" w:sz="6" w:space="0"/>
              <w:left w:val="single" w:color="000000" w:sz="6" w:space="0"/>
              <w:bottom w:val="nil"/>
              <w:right w:val="nil"/>
            </w:tcBorders>
            <w:shd w:val="clear" w:color="auto" w:fill="FFFFFF"/>
            <w:tcMar>
              <w:bottom w:w="0" w:type="dxa"/>
            </w:tcMar>
            <w:vAlign w:val="center"/>
          </w:tcPr>
          <w:p>
            <w:pPr>
              <w:rPr>
                <w:rFonts w:hint="eastAsia" w:ascii="宋体"/>
                <w:sz w:val="24"/>
                <w:szCs w:val="24"/>
              </w:rPr>
            </w:pPr>
          </w:p>
        </w:tc>
        <w:tc>
          <w:tcPr>
            <w:tcW w:w="885" w:type="dxa"/>
            <w:vMerge w:val="restart"/>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行政办公经费成本节约指标（20%）</w:t>
            </w:r>
          </w:p>
          <w:p>
            <w:pPr>
              <w:pStyle w:val="2"/>
              <w:keepNext w:val="0"/>
              <w:keepLines w:val="0"/>
              <w:widowControl/>
              <w:suppressLineNumbers w:val="0"/>
              <w:spacing w:before="0" w:beforeAutospacing="0" w:after="0" w:afterAutospacing="0"/>
              <w:ind w:left="0" w:right="0"/>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（20分）</w:t>
            </w:r>
          </w:p>
        </w:tc>
        <w:tc>
          <w:tcPr>
            <w:tcW w:w="1377"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成本节约率</w:t>
            </w:r>
          </w:p>
        </w:tc>
        <w:tc>
          <w:tcPr>
            <w:tcW w:w="870" w:type="dxa"/>
            <w:vMerge w:val="restart"/>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974" w:type="dxa"/>
            <w:vMerge w:val="restart"/>
            <w:tcBorders>
              <w:top w:val="single" w:color="000000" w:sz="6" w:space="0"/>
              <w:left w:val="single" w:color="000000" w:sz="6" w:space="0"/>
              <w:bottom w:val="nil"/>
              <w:right w:val="nil"/>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1124" w:type="dxa"/>
            <w:vMerge w:val="restart"/>
            <w:tcBorders>
              <w:top w:val="single" w:color="000000" w:sz="6" w:space="0"/>
              <w:left w:val="single" w:color="000000" w:sz="6" w:space="0"/>
              <w:bottom w:val="nil"/>
              <w:right w:val="nil"/>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4161" w:type="dxa"/>
            <w:vMerge w:val="restart"/>
            <w:tcBorders>
              <w:top w:val="nil"/>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textAlignment w:val="top"/>
              <w:rPr>
                <w:rFonts w:hint="eastAsia" w:ascii="宋体" w:hAnsi="宋体" w:eastAsia="宋体" w:cs="宋体"/>
                <w:sz w:val="21"/>
                <w:szCs w:val="21"/>
              </w:rPr>
            </w:pPr>
            <w:r>
              <w:rPr>
                <w:rFonts w:hint="default" w:ascii="仿宋_gb2312" w:hAnsi="仿宋_gb2312" w:eastAsia="仿宋_gb2312" w:cs="仿宋_gb2312"/>
                <w:sz w:val="19"/>
                <w:szCs w:val="19"/>
              </w:rPr>
              <w:t>成本节约率=［（A-B）/A］*100%。</w:t>
            </w:r>
            <w:r>
              <w:rPr>
                <w:rFonts w:hint="eastAsia" w:ascii="宋体" w:hAnsi="宋体" w:eastAsia="宋体" w:cs="宋体"/>
                <w:sz w:val="19"/>
                <w:szCs w:val="19"/>
              </w:rPr>
              <w:br w:type="textWrapping"/>
            </w:r>
            <w:r>
              <w:rPr>
                <w:rFonts w:hint="eastAsia" w:ascii="仿宋_gb2312" w:hAnsi="仿宋_gb2312" w:eastAsia="仿宋_gb2312" w:cs="仿宋_gb2312"/>
                <w:sz w:val="19"/>
                <w:szCs w:val="19"/>
                <w:lang w:val="en-US" w:eastAsia="zh-CN"/>
              </w:rPr>
              <w:t xml:space="preserve">    </w:t>
            </w:r>
            <w:r>
              <w:rPr>
                <w:rFonts w:hint="default" w:ascii="仿宋_gb2312" w:hAnsi="仿宋_gb2312" w:eastAsia="仿宋_gb2312" w:cs="仿宋_gb2312"/>
                <w:sz w:val="19"/>
                <w:szCs w:val="19"/>
              </w:rPr>
              <w:t>节约20%及以上得20分，节约率19%-15%得15分，节约率14%-10%得10分，节约率9%-5%得5分，节约率5%以下得2分，超支不得分。</w:t>
            </w:r>
            <w:r>
              <w:rPr>
                <w:rFonts w:hint="eastAsia" w:ascii="宋体" w:hAnsi="宋体" w:eastAsia="宋体" w:cs="宋体"/>
                <w:sz w:val="19"/>
                <w:szCs w:val="19"/>
              </w:rPr>
              <w:br w:type="textWrapping"/>
            </w:r>
            <w:r>
              <w:rPr>
                <w:rFonts w:hint="eastAsia" w:ascii="宋体" w:hAnsi="宋体" w:eastAsia="宋体" w:cs="宋体"/>
                <w:sz w:val="19"/>
                <w:szCs w:val="19"/>
                <w:lang w:val="en-US" w:eastAsia="zh-CN"/>
              </w:rPr>
              <w:t xml:space="preserve">    </w:t>
            </w:r>
            <w:r>
              <w:rPr>
                <w:rFonts w:hint="default" w:ascii="仿宋_gb2312" w:hAnsi="仿宋_gb2312" w:eastAsia="仿宋_gb2312" w:cs="仿宋_gb2312"/>
                <w:sz w:val="19"/>
                <w:szCs w:val="19"/>
              </w:rPr>
              <w:t>该考评指标用于考核“日常公用经费和学生实训实习经费”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110" w:hRule="atLeast"/>
          <w:jc w:val="center"/>
        </w:trPr>
        <w:tc>
          <w:tcPr>
            <w:tcW w:w="554" w:type="dxa"/>
            <w:vMerge w:val="continue"/>
            <w:tcBorders>
              <w:top w:val="single" w:color="000000" w:sz="6" w:space="0"/>
              <w:left w:val="single" w:color="000000" w:sz="6" w:space="0"/>
              <w:bottom w:val="nil"/>
              <w:right w:val="nil"/>
            </w:tcBorders>
            <w:shd w:val="clear" w:color="auto" w:fill="FFFFFF"/>
            <w:tcMar>
              <w:bottom w:w="0" w:type="dxa"/>
            </w:tcMar>
            <w:vAlign w:val="center"/>
          </w:tcPr>
          <w:p>
            <w:pPr>
              <w:rPr>
                <w:rFonts w:hint="eastAsia" w:ascii="宋体"/>
                <w:sz w:val="24"/>
                <w:szCs w:val="24"/>
              </w:rPr>
            </w:pPr>
          </w:p>
        </w:tc>
        <w:tc>
          <w:tcPr>
            <w:tcW w:w="885" w:type="dxa"/>
            <w:vMerge w:val="continue"/>
            <w:tcBorders>
              <w:top w:val="single" w:color="000000" w:sz="6" w:space="0"/>
              <w:left w:val="single" w:color="000000" w:sz="6" w:space="0"/>
              <w:bottom w:val="nil"/>
              <w:right w:val="nil"/>
            </w:tcBorders>
            <w:shd w:val="clear" w:color="auto" w:fill="FFFFFF"/>
            <w:tcMar>
              <w:bottom w:w="0" w:type="dxa"/>
            </w:tcMar>
            <w:vAlign w:val="center"/>
          </w:tcPr>
          <w:p>
            <w:pPr>
              <w:rPr>
                <w:rFonts w:hint="eastAsia" w:ascii="宋体"/>
                <w:sz w:val="24"/>
                <w:szCs w:val="24"/>
              </w:rPr>
            </w:pPr>
          </w:p>
        </w:tc>
        <w:tc>
          <w:tcPr>
            <w:tcW w:w="1377" w:type="dxa"/>
            <w:tcBorders>
              <w:top w:val="nil"/>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（20分）</w:t>
            </w:r>
          </w:p>
        </w:tc>
        <w:tc>
          <w:tcPr>
            <w:tcW w:w="870" w:type="dxa"/>
            <w:vMerge w:val="continue"/>
            <w:tcBorders>
              <w:top w:val="single" w:color="000000" w:sz="6" w:space="0"/>
              <w:left w:val="single" w:color="000000" w:sz="6" w:space="0"/>
              <w:bottom w:val="nil"/>
              <w:right w:val="nil"/>
            </w:tcBorders>
            <w:shd w:val="clear" w:color="auto" w:fill="FFFFFF"/>
            <w:tcMar>
              <w:bottom w:w="0" w:type="dxa"/>
            </w:tcMar>
            <w:vAlign w:val="center"/>
          </w:tcPr>
          <w:p>
            <w:pPr>
              <w:rPr>
                <w:rFonts w:hint="eastAsia" w:ascii="宋体"/>
                <w:sz w:val="24"/>
                <w:szCs w:val="24"/>
              </w:rPr>
            </w:pPr>
          </w:p>
        </w:tc>
        <w:tc>
          <w:tcPr>
            <w:tcW w:w="974" w:type="dxa"/>
            <w:vMerge w:val="continue"/>
            <w:tcBorders>
              <w:top w:val="single" w:color="000000" w:sz="6" w:space="0"/>
              <w:left w:val="single" w:color="000000" w:sz="6" w:space="0"/>
              <w:bottom w:val="nil"/>
              <w:right w:val="nil"/>
            </w:tcBorders>
            <w:shd w:val="clear" w:color="auto" w:fill="FFFFFF"/>
            <w:tcMar>
              <w:bottom w:w="0" w:type="dxa"/>
            </w:tcMar>
            <w:vAlign w:val="top"/>
          </w:tcPr>
          <w:p>
            <w:pPr>
              <w:rPr>
                <w:rFonts w:hint="eastAsia" w:ascii="宋体"/>
                <w:sz w:val="24"/>
                <w:szCs w:val="24"/>
              </w:rPr>
            </w:pPr>
          </w:p>
        </w:tc>
        <w:tc>
          <w:tcPr>
            <w:tcW w:w="1124" w:type="dxa"/>
            <w:vMerge w:val="continue"/>
            <w:tcBorders>
              <w:top w:val="single" w:color="000000" w:sz="6" w:space="0"/>
              <w:left w:val="single" w:color="000000" w:sz="6" w:space="0"/>
              <w:bottom w:val="nil"/>
              <w:right w:val="nil"/>
            </w:tcBorders>
            <w:shd w:val="clear" w:color="auto" w:fill="FFFFFF"/>
            <w:tcMar>
              <w:bottom w:w="0" w:type="dxa"/>
            </w:tcMar>
            <w:vAlign w:val="top"/>
          </w:tcPr>
          <w:p>
            <w:pPr>
              <w:rPr>
                <w:rFonts w:hint="eastAsia" w:ascii="宋体"/>
                <w:sz w:val="24"/>
                <w:szCs w:val="24"/>
              </w:rPr>
            </w:pPr>
          </w:p>
        </w:tc>
        <w:tc>
          <w:tcPr>
            <w:tcW w:w="4161" w:type="dxa"/>
            <w:vMerge w:val="continue"/>
            <w:tcBorders>
              <w:top w:val="nil"/>
              <w:left w:val="single" w:color="000000" w:sz="6" w:space="0"/>
              <w:bottom w:val="nil"/>
              <w:right w:val="single" w:color="000000" w:sz="6" w:space="0"/>
            </w:tcBorders>
            <w:shd w:val="clear" w:color="auto" w:fill="FFFFFF"/>
            <w:tcMar>
              <w:bottom w:w="0"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75" w:hRule="atLeast"/>
          <w:jc w:val="center"/>
        </w:trPr>
        <w:tc>
          <w:tcPr>
            <w:tcW w:w="554" w:type="dxa"/>
            <w:vMerge w:val="continue"/>
            <w:tcBorders>
              <w:top w:val="single" w:color="000000" w:sz="6" w:space="0"/>
              <w:left w:val="single" w:color="000000" w:sz="6" w:space="0"/>
              <w:bottom w:val="nil"/>
              <w:right w:val="nil"/>
            </w:tcBorders>
            <w:shd w:val="clear" w:color="auto" w:fill="FFFFFF"/>
            <w:tcMar>
              <w:bottom w:w="0" w:type="dxa"/>
            </w:tcMar>
            <w:vAlign w:val="center"/>
          </w:tcPr>
          <w:p>
            <w:pPr>
              <w:rPr>
                <w:rFonts w:hint="eastAsia" w:ascii="宋体"/>
                <w:sz w:val="24"/>
                <w:szCs w:val="24"/>
              </w:rPr>
            </w:pPr>
          </w:p>
        </w:tc>
        <w:tc>
          <w:tcPr>
            <w:tcW w:w="885" w:type="dxa"/>
            <w:vMerge w:val="restart"/>
            <w:tcBorders>
              <w:top w:val="single" w:color="000000" w:sz="6" w:space="0"/>
              <w:left w:val="single" w:color="000000" w:sz="6" w:space="0"/>
              <w:bottom w:val="nil"/>
              <w:right w:val="single" w:color="000000" w:sz="6" w:space="0"/>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预算执行率55%</w:t>
            </w:r>
            <w:r>
              <w:rPr>
                <w:rFonts w:hint="eastAsia" w:ascii="宋体" w:hAnsi="宋体" w:eastAsia="宋体" w:cs="宋体"/>
                <w:sz w:val="19"/>
                <w:szCs w:val="19"/>
              </w:rPr>
              <w:br w:type="textWrapping"/>
            </w:r>
            <w:r>
              <w:rPr>
                <w:rFonts w:hint="default" w:ascii="仿宋_gb2312" w:hAnsi="仿宋_gb2312" w:eastAsia="仿宋_gb2312" w:cs="仿宋_gb2312"/>
                <w:sz w:val="19"/>
                <w:szCs w:val="19"/>
              </w:rPr>
              <w:t>（80分）</w:t>
            </w:r>
          </w:p>
        </w:tc>
        <w:tc>
          <w:tcPr>
            <w:tcW w:w="1377" w:type="dxa"/>
            <w:tcBorders>
              <w:top w:val="single" w:color="000000" w:sz="6" w:space="0"/>
              <w:left w:val="nil"/>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项目（合同）</w:t>
            </w:r>
          </w:p>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（6分）</w:t>
            </w:r>
          </w:p>
        </w:tc>
        <w:tc>
          <w:tcPr>
            <w:tcW w:w="87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974" w:type="dxa"/>
            <w:tcBorders>
              <w:top w:val="single" w:color="000000" w:sz="6" w:space="0"/>
              <w:left w:val="single" w:color="000000" w:sz="6" w:space="0"/>
              <w:bottom w:val="nil"/>
              <w:right w:val="nil"/>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1124" w:type="dxa"/>
            <w:tcBorders>
              <w:top w:val="single" w:color="000000" w:sz="6" w:space="0"/>
              <w:left w:val="single" w:color="000000" w:sz="6" w:space="0"/>
              <w:bottom w:val="nil"/>
              <w:right w:val="nil"/>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4161" w:type="dxa"/>
            <w:tcBorders>
              <w:top w:val="single" w:color="000000" w:sz="6" w:space="0"/>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firstLine="380" w:firstLineChars="200"/>
              <w:textAlignment w:val="top"/>
              <w:rPr>
                <w:rFonts w:hint="eastAsia" w:ascii="宋体" w:hAnsi="宋体" w:eastAsia="宋体" w:cs="宋体"/>
                <w:sz w:val="21"/>
                <w:szCs w:val="21"/>
              </w:rPr>
            </w:pPr>
            <w:r>
              <w:rPr>
                <w:rFonts w:hint="default" w:ascii="仿宋_gb2312" w:hAnsi="仿宋_gb2312" w:eastAsia="仿宋_gb2312" w:cs="仿宋_gb2312"/>
                <w:sz w:val="19"/>
                <w:szCs w:val="19"/>
              </w:rPr>
              <w:t>项目（合同）是否按规定立项。未按规定立项每项扣1分，补立项每项扣0.5分，扣完为止。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75" w:hRule="atLeast"/>
          <w:jc w:val="center"/>
        </w:trPr>
        <w:tc>
          <w:tcPr>
            <w:tcW w:w="554" w:type="dxa"/>
            <w:vMerge w:val="continue"/>
            <w:tcBorders>
              <w:top w:val="single" w:color="000000" w:sz="6" w:space="0"/>
              <w:left w:val="single" w:color="000000" w:sz="6" w:space="0"/>
              <w:bottom w:val="nil"/>
              <w:right w:val="nil"/>
            </w:tcBorders>
            <w:shd w:val="clear" w:color="auto" w:fill="FFFFFF"/>
            <w:tcMar>
              <w:bottom w:w="0" w:type="dxa"/>
            </w:tcMar>
            <w:vAlign w:val="center"/>
          </w:tcPr>
          <w:p>
            <w:pPr>
              <w:rPr>
                <w:rFonts w:hint="eastAsia" w:ascii="宋体"/>
                <w:sz w:val="24"/>
                <w:szCs w:val="24"/>
              </w:rPr>
            </w:pPr>
          </w:p>
        </w:tc>
        <w:tc>
          <w:tcPr>
            <w:tcW w:w="885"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center"/>
          </w:tcPr>
          <w:p>
            <w:pPr>
              <w:rPr>
                <w:rFonts w:hint="eastAsia" w:ascii="宋体"/>
                <w:sz w:val="24"/>
                <w:szCs w:val="24"/>
              </w:rPr>
            </w:pPr>
          </w:p>
        </w:tc>
        <w:tc>
          <w:tcPr>
            <w:tcW w:w="1377" w:type="dxa"/>
            <w:tcBorders>
              <w:top w:val="single" w:color="000000" w:sz="6" w:space="0"/>
              <w:left w:val="nil"/>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绩效目标确定</w:t>
            </w:r>
          </w:p>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（6分）</w:t>
            </w:r>
          </w:p>
        </w:tc>
        <w:tc>
          <w:tcPr>
            <w:tcW w:w="87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974" w:type="dxa"/>
            <w:tcBorders>
              <w:top w:val="single" w:color="000000" w:sz="6" w:space="0"/>
              <w:left w:val="single" w:color="000000" w:sz="6" w:space="0"/>
              <w:bottom w:val="nil"/>
              <w:right w:val="nil"/>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1124" w:type="dxa"/>
            <w:tcBorders>
              <w:top w:val="single" w:color="000000" w:sz="6" w:space="0"/>
              <w:left w:val="single" w:color="000000" w:sz="6" w:space="0"/>
              <w:bottom w:val="nil"/>
              <w:right w:val="nil"/>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4161" w:type="dxa"/>
            <w:tcBorders>
              <w:top w:val="single" w:color="000000" w:sz="6" w:space="0"/>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firstLine="380" w:firstLineChars="200"/>
              <w:textAlignment w:val="top"/>
              <w:rPr>
                <w:rFonts w:hint="eastAsia" w:ascii="宋体" w:hAnsi="宋体" w:eastAsia="宋体" w:cs="宋体"/>
                <w:sz w:val="21"/>
                <w:szCs w:val="21"/>
              </w:rPr>
            </w:pPr>
            <w:r>
              <w:rPr>
                <w:rFonts w:hint="default" w:ascii="仿宋_gb2312" w:hAnsi="仿宋_gb2312" w:eastAsia="仿宋_gb2312" w:cs="仿宋_gb2312"/>
                <w:sz w:val="19"/>
                <w:szCs w:val="19"/>
              </w:rPr>
              <w:t>编制年度预算时绩效目标是否明确。未填报的1项扣1分，填报不符合客观实际的1项扣0.5分，扣完为止。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85" w:hRule="atLeast"/>
          <w:jc w:val="center"/>
        </w:trPr>
        <w:tc>
          <w:tcPr>
            <w:tcW w:w="554" w:type="dxa"/>
            <w:vMerge w:val="continue"/>
            <w:tcBorders>
              <w:top w:val="single" w:color="000000" w:sz="6" w:space="0"/>
              <w:left w:val="single" w:color="000000" w:sz="6" w:space="0"/>
              <w:bottom w:val="nil"/>
              <w:right w:val="nil"/>
            </w:tcBorders>
            <w:shd w:val="clear" w:color="auto" w:fill="FFFFFF"/>
            <w:tcMar>
              <w:bottom w:w="0" w:type="dxa"/>
            </w:tcMar>
            <w:vAlign w:val="center"/>
          </w:tcPr>
          <w:p>
            <w:pPr>
              <w:rPr>
                <w:rFonts w:hint="eastAsia" w:ascii="宋体"/>
                <w:sz w:val="24"/>
                <w:szCs w:val="24"/>
              </w:rPr>
            </w:pPr>
          </w:p>
        </w:tc>
        <w:tc>
          <w:tcPr>
            <w:tcW w:w="885"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center"/>
          </w:tcPr>
          <w:p>
            <w:pPr>
              <w:rPr>
                <w:rFonts w:hint="eastAsia" w:ascii="宋体"/>
                <w:sz w:val="24"/>
                <w:szCs w:val="24"/>
              </w:rPr>
            </w:pPr>
          </w:p>
        </w:tc>
        <w:tc>
          <w:tcPr>
            <w:tcW w:w="1377" w:type="dxa"/>
            <w:tcBorders>
              <w:top w:val="single" w:color="000000" w:sz="6" w:space="0"/>
              <w:left w:val="nil"/>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预算编制</w:t>
            </w:r>
          </w:p>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（15分）</w:t>
            </w:r>
          </w:p>
        </w:tc>
        <w:tc>
          <w:tcPr>
            <w:tcW w:w="870" w:type="dxa"/>
            <w:tcBorders>
              <w:top w:val="single" w:color="000000" w:sz="6" w:space="0"/>
              <w:left w:val="single" w:color="000000" w:sz="6" w:space="0"/>
              <w:bottom w:val="nil"/>
              <w:right w:val="nil"/>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974" w:type="dxa"/>
            <w:tcBorders>
              <w:top w:val="single" w:color="000000" w:sz="6" w:space="0"/>
              <w:left w:val="single" w:color="000000" w:sz="6" w:space="0"/>
              <w:bottom w:val="nil"/>
              <w:right w:val="nil"/>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1124" w:type="dxa"/>
            <w:tcBorders>
              <w:top w:val="single" w:color="000000" w:sz="6" w:space="0"/>
              <w:left w:val="single" w:color="000000" w:sz="6" w:space="0"/>
              <w:bottom w:val="nil"/>
              <w:right w:val="nil"/>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4161" w:type="dxa"/>
            <w:tcBorders>
              <w:top w:val="single" w:color="000000" w:sz="6" w:space="0"/>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firstLine="380" w:firstLineChars="200"/>
              <w:textAlignment w:val="top"/>
              <w:rPr>
                <w:rFonts w:hint="eastAsia" w:ascii="宋体" w:hAnsi="宋体" w:eastAsia="宋体" w:cs="宋体"/>
                <w:sz w:val="21"/>
                <w:szCs w:val="21"/>
              </w:rPr>
            </w:pPr>
            <w:r>
              <w:rPr>
                <w:rFonts w:hint="default" w:ascii="仿宋_gb2312" w:hAnsi="仿宋_gb2312" w:eastAsia="仿宋_gb2312" w:cs="仿宋_gb2312"/>
                <w:sz w:val="19"/>
                <w:szCs w:val="19"/>
              </w:rPr>
              <w:t>预算编制额度测算是否准确，是否按照规定要求编制，是否按时完成。工作未按要求完成1项扣1分，因部门落实不到位，造成影响学校整体预算编制的扣5分。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jc w:val="center"/>
        </w:trPr>
        <w:tc>
          <w:tcPr>
            <w:tcW w:w="554" w:type="dxa"/>
            <w:vMerge w:val="continue"/>
            <w:tcBorders>
              <w:top w:val="single" w:color="000000" w:sz="6" w:space="0"/>
              <w:left w:val="single" w:color="000000" w:sz="6" w:space="0"/>
              <w:bottom w:val="nil"/>
              <w:right w:val="nil"/>
            </w:tcBorders>
            <w:shd w:val="clear" w:color="auto" w:fill="FFFFFF"/>
            <w:tcMar>
              <w:bottom w:w="0" w:type="dxa"/>
            </w:tcMar>
            <w:vAlign w:val="center"/>
          </w:tcPr>
          <w:p>
            <w:pPr>
              <w:rPr>
                <w:rFonts w:hint="eastAsia" w:ascii="宋体"/>
                <w:sz w:val="24"/>
                <w:szCs w:val="24"/>
              </w:rPr>
            </w:pPr>
          </w:p>
        </w:tc>
        <w:tc>
          <w:tcPr>
            <w:tcW w:w="885"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center"/>
          </w:tcPr>
          <w:p>
            <w:pPr>
              <w:rPr>
                <w:rFonts w:hint="eastAsia" w:ascii="宋体"/>
                <w:sz w:val="24"/>
                <w:szCs w:val="24"/>
              </w:rPr>
            </w:pPr>
          </w:p>
        </w:tc>
        <w:tc>
          <w:tcPr>
            <w:tcW w:w="1377" w:type="dxa"/>
            <w:vMerge w:val="restart"/>
            <w:tcBorders>
              <w:top w:val="single" w:color="000000" w:sz="6" w:space="0"/>
              <w:left w:val="nil"/>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支出完成率</w:t>
            </w:r>
          </w:p>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（40分）</w:t>
            </w:r>
          </w:p>
        </w:tc>
        <w:tc>
          <w:tcPr>
            <w:tcW w:w="87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974" w:type="dxa"/>
            <w:vMerge w:val="restart"/>
            <w:tcBorders>
              <w:top w:val="single" w:color="000000" w:sz="6" w:space="0"/>
              <w:left w:val="single" w:color="000000" w:sz="6" w:space="0"/>
              <w:bottom w:val="nil"/>
              <w:right w:val="nil"/>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1124" w:type="dxa"/>
            <w:vMerge w:val="restart"/>
            <w:tcBorders>
              <w:top w:val="single" w:color="000000" w:sz="6" w:space="0"/>
              <w:left w:val="single" w:color="000000" w:sz="6" w:space="0"/>
              <w:bottom w:val="nil"/>
              <w:right w:val="nil"/>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4161" w:type="dxa"/>
            <w:vMerge w:val="restart"/>
            <w:tcBorders>
              <w:top w:val="single" w:color="000000" w:sz="6" w:space="0"/>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textAlignment w:val="top"/>
              <w:rPr>
                <w:rFonts w:hint="eastAsia" w:ascii="宋体" w:hAnsi="宋体" w:eastAsia="宋体" w:cs="宋体"/>
                <w:sz w:val="21"/>
                <w:szCs w:val="21"/>
              </w:rPr>
            </w:pPr>
            <w:r>
              <w:rPr>
                <w:rFonts w:hint="default" w:ascii="仿宋_gb2312" w:hAnsi="仿宋_gb2312" w:eastAsia="仿宋_gb2312" w:cs="仿宋_gb2312"/>
                <w:sz w:val="19"/>
                <w:szCs w:val="19"/>
              </w:rPr>
              <w:t>预算支出完成率=（B/A）*100%o</w:t>
            </w:r>
            <w:r>
              <w:rPr>
                <w:rFonts w:hint="eastAsia" w:ascii="宋体" w:hAnsi="宋体" w:eastAsia="宋体" w:cs="宋体"/>
                <w:sz w:val="19"/>
                <w:szCs w:val="19"/>
              </w:rPr>
              <w:br w:type="textWrapping"/>
            </w:r>
            <w:r>
              <w:rPr>
                <w:rFonts w:hint="eastAsia" w:ascii="仿宋_gb2312" w:hAnsi="仿宋_gb2312" w:eastAsia="仿宋_gb2312" w:cs="仿宋_gb2312"/>
                <w:sz w:val="19"/>
                <w:szCs w:val="19"/>
                <w:lang w:val="en-US" w:eastAsia="zh-CN"/>
              </w:rPr>
              <w:t xml:space="preserve">    </w:t>
            </w:r>
            <w:r>
              <w:rPr>
                <w:rFonts w:hint="default" w:ascii="仿宋_gb2312" w:hAnsi="仿宋_gb2312" w:eastAsia="仿宋_gb2312" w:cs="仿宋_gb2312"/>
                <w:sz w:val="19"/>
                <w:szCs w:val="19"/>
              </w:rPr>
              <w:t>实际支出资金：本年度财务帐面核算的项目实际支出扣除日常公用经费和学生实训实习经费。</w:t>
            </w:r>
            <w:r>
              <w:rPr>
                <w:rFonts w:hint="eastAsia" w:ascii="宋体" w:hAnsi="宋体" w:eastAsia="宋体" w:cs="宋体"/>
                <w:sz w:val="19"/>
                <w:szCs w:val="19"/>
              </w:rPr>
              <w:br w:type="textWrapping"/>
            </w:r>
            <w:r>
              <w:rPr>
                <w:rFonts w:hint="eastAsia" w:ascii="仿宋_gb2312" w:hAnsi="仿宋_gb2312" w:eastAsia="仿宋_gb2312" w:cs="仿宋_gb2312"/>
                <w:sz w:val="19"/>
                <w:szCs w:val="19"/>
                <w:lang w:val="en-US" w:eastAsia="zh-CN"/>
              </w:rPr>
              <w:t xml:space="preserve">    </w:t>
            </w:r>
            <w:r>
              <w:rPr>
                <w:rFonts w:hint="default" w:ascii="仿宋_gb2312" w:hAnsi="仿宋_gb2312" w:eastAsia="仿宋_gb2312" w:cs="仿宋_gb2312"/>
                <w:sz w:val="19"/>
                <w:szCs w:val="19"/>
              </w:rPr>
              <w:t>预算资金：本年度下达的部门预算经费扣除日常公用经费和学生实训实习经费分配的定额数。</w:t>
            </w:r>
            <w:r>
              <w:rPr>
                <w:rFonts w:hint="eastAsia" w:ascii="宋体" w:hAnsi="宋体" w:eastAsia="宋体" w:cs="宋体"/>
                <w:sz w:val="19"/>
                <w:szCs w:val="19"/>
              </w:rPr>
              <w:br w:type="textWrapping"/>
            </w:r>
            <w:r>
              <w:rPr>
                <w:rFonts w:hint="eastAsia" w:ascii="仿宋_gb2312" w:hAnsi="仿宋_gb2312" w:eastAsia="仿宋_gb2312" w:cs="仿宋_gb2312"/>
                <w:sz w:val="19"/>
                <w:szCs w:val="19"/>
                <w:lang w:val="en-US" w:eastAsia="zh-CN"/>
              </w:rPr>
              <w:t xml:space="preserve">    </w:t>
            </w:r>
            <w:r>
              <w:rPr>
                <w:rFonts w:hint="default" w:ascii="仿宋_gb2312" w:hAnsi="仿宋_gb2312" w:eastAsia="仿宋_gb2312" w:cs="仿宋_gb2312"/>
                <w:sz w:val="19"/>
                <w:szCs w:val="19"/>
              </w:rPr>
              <w:t>未完成经费使用的每5%扣1分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05" w:hRule="atLeast"/>
          <w:jc w:val="center"/>
        </w:trPr>
        <w:tc>
          <w:tcPr>
            <w:tcW w:w="554" w:type="dxa"/>
            <w:vMerge w:val="continue"/>
            <w:tcBorders>
              <w:top w:val="single" w:color="000000" w:sz="6" w:space="0"/>
              <w:left w:val="single" w:color="000000" w:sz="6" w:space="0"/>
              <w:bottom w:val="nil"/>
              <w:right w:val="nil"/>
            </w:tcBorders>
            <w:shd w:val="clear" w:color="auto" w:fill="FFFFFF"/>
            <w:tcMar>
              <w:bottom w:w="0" w:type="dxa"/>
            </w:tcMar>
            <w:vAlign w:val="center"/>
          </w:tcPr>
          <w:p>
            <w:pPr>
              <w:rPr>
                <w:rFonts w:hint="eastAsia" w:ascii="宋体"/>
                <w:sz w:val="24"/>
                <w:szCs w:val="24"/>
              </w:rPr>
            </w:pPr>
          </w:p>
        </w:tc>
        <w:tc>
          <w:tcPr>
            <w:tcW w:w="885"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center"/>
          </w:tcPr>
          <w:p>
            <w:pPr>
              <w:rPr>
                <w:rFonts w:hint="eastAsia" w:ascii="宋体"/>
                <w:sz w:val="24"/>
                <w:szCs w:val="24"/>
              </w:rPr>
            </w:pPr>
          </w:p>
        </w:tc>
        <w:tc>
          <w:tcPr>
            <w:tcW w:w="1377" w:type="dxa"/>
            <w:vMerge w:val="continue"/>
            <w:tcBorders>
              <w:top w:val="single" w:color="000000" w:sz="6" w:space="0"/>
              <w:left w:val="nil"/>
              <w:bottom w:val="nil"/>
              <w:right w:val="nil"/>
            </w:tcBorders>
            <w:shd w:val="clear" w:color="auto" w:fill="FFFFFF"/>
            <w:tcMar>
              <w:bottom w:w="0" w:type="dxa"/>
            </w:tcMar>
            <w:vAlign w:val="center"/>
          </w:tcPr>
          <w:p>
            <w:pPr>
              <w:rPr>
                <w:rFonts w:hint="eastAsia" w:ascii="宋体"/>
                <w:sz w:val="24"/>
                <w:szCs w:val="24"/>
              </w:rPr>
            </w:pPr>
          </w:p>
        </w:tc>
        <w:tc>
          <w:tcPr>
            <w:tcW w:w="870" w:type="dxa"/>
            <w:tcBorders>
              <w:top w:val="nil"/>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974" w:type="dxa"/>
            <w:vMerge w:val="continue"/>
            <w:tcBorders>
              <w:top w:val="single" w:color="000000" w:sz="6" w:space="0"/>
              <w:left w:val="single" w:color="000000" w:sz="6" w:space="0"/>
              <w:bottom w:val="nil"/>
              <w:right w:val="nil"/>
            </w:tcBorders>
            <w:shd w:val="clear" w:color="auto" w:fill="FFFFFF"/>
            <w:tcMar>
              <w:bottom w:w="0" w:type="dxa"/>
            </w:tcMar>
            <w:vAlign w:val="top"/>
          </w:tcPr>
          <w:p>
            <w:pPr>
              <w:rPr>
                <w:rFonts w:hint="eastAsia" w:ascii="宋体"/>
                <w:sz w:val="24"/>
                <w:szCs w:val="24"/>
              </w:rPr>
            </w:pPr>
          </w:p>
        </w:tc>
        <w:tc>
          <w:tcPr>
            <w:tcW w:w="1124" w:type="dxa"/>
            <w:vMerge w:val="continue"/>
            <w:tcBorders>
              <w:top w:val="single" w:color="000000" w:sz="6" w:space="0"/>
              <w:left w:val="single" w:color="000000" w:sz="6" w:space="0"/>
              <w:bottom w:val="nil"/>
              <w:right w:val="nil"/>
            </w:tcBorders>
            <w:shd w:val="clear" w:color="auto" w:fill="FFFFFF"/>
            <w:tcMar>
              <w:bottom w:w="0" w:type="dxa"/>
            </w:tcMar>
            <w:vAlign w:val="top"/>
          </w:tcPr>
          <w:p>
            <w:pPr>
              <w:rPr>
                <w:rFonts w:hint="eastAsia" w:ascii="宋体"/>
                <w:sz w:val="24"/>
                <w:szCs w:val="24"/>
              </w:rPr>
            </w:pPr>
          </w:p>
        </w:tc>
        <w:tc>
          <w:tcPr>
            <w:tcW w:w="4161"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65" w:hRule="atLeast"/>
          <w:jc w:val="center"/>
        </w:trPr>
        <w:tc>
          <w:tcPr>
            <w:tcW w:w="554" w:type="dxa"/>
            <w:vMerge w:val="continue"/>
            <w:tcBorders>
              <w:top w:val="single" w:color="000000" w:sz="6" w:space="0"/>
              <w:left w:val="single" w:color="000000" w:sz="6" w:space="0"/>
              <w:bottom w:val="nil"/>
              <w:right w:val="nil"/>
            </w:tcBorders>
            <w:shd w:val="clear" w:color="auto" w:fill="FFFFFF"/>
            <w:tcMar>
              <w:bottom w:w="0" w:type="dxa"/>
            </w:tcMar>
            <w:vAlign w:val="center"/>
          </w:tcPr>
          <w:p>
            <w:pPr>
              <w:rPr>
                <w:rFonts w:hint="eastAsia" w:ascii="宋体"/>
                <w:sz w:val="24"/>
                <w:szCs w:val="24"/>
              </w:rPr>
            </w:pPr>
          </w:p>
        </w:tc>
        <w:tc>
          <w:tcPr>
            <w:tcW w:w="885"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center"/>
          </w:tcPr>
          <w:p>
            <w:pPr>
              <w:rPr>
                <w:rFonts w:hint="eastAsia" w:ascii="宋体"/>
                <w:sz w:val="24"/>
                <w:szCs w:val="24"/>
              </w:rPr>
            </w:pPr>
          </w:p>
        </w:tc>
        <w:tc>
          <w:tcPr>
            <w:tcW w:w="1377" w:type="dxa"/>
            <w:vMerge w:val="continue"/>
            <w:tcBorders>
              <w:top w:val="single" w:color="000000" w:sz="6" w:space="0"/>
              <w:left w:val="nil"/>
              <w:bottom w:val="nil"/>
              <w:right w:val="nil"/>
            </w:tcBorders>
            <w:shd w:val="clear" w:color="auto" w:fill="FFFFFF"/>
            <w:tcMar>
              <w:bottom w:w="0" w:type="dxa"/>
            </w:tcMar>
            <w:vAlign w:val="center"/>
          </w:tcPr>
          <w:p>
            <w:pPr>
              <w:rPr>
                <w:rFonts w:hint="eastAsia" w:ascii="宋体"/>
                <w:sz w:val="24"/>
                <w:szCs w:val="24"/>
              </w:rPr>
            </w:pPr>
          </w:p>
        </w:tc>
        <w:tc>
          <w:tcPr>
            <w:tcW w:w="870" w:type="dxa"/>
            <w:tcBorders>
              <w:top w:val="nil"/>
              <w:left w:val="single" w:color="000000" w:sz="6" w:space="0"/>
              <w:bottom w:val="nil"/>
              <w:right w:val="nil"/>
            </w:tcBorders>
            <w:shd w:val="clear" w:color="auto" w:fill="auto"/>
            <w:noWrap/>
            <w:tcMar>
              <w:bottom w:w="0" w:type="dxa"/>
            </w:tcMar>
            <w:vAlign w:val="center"/>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974" w:type="dxa"/>
            <w:vMerge w:val="continue"/>
            <w:tcBorders>
              <w:top w:val="single" w:color="000000" w:sz="6" w:space="0"/>
              <w:left w:val="single" w:color="000000" w:sz="6" w:space="0"/>
              <w:bottom w:val="nil"/>
              <w:right w:val="nil"/>
            </w:tcBorders>
            <w:shd w:val="clear" w:color="auto" w:fill="FFFFFF"/>
            <w:tcMar>
              <w:bottom w:w="0" w:type="dxa"/>
            </w:tcMar>
            <w:vAlign w:val="top"/>
          </w:tcPr>
          <w:p>
            <w:pPr>
              <w:rPr>
                <w:rFonts w:hint="eastAsia" w:ascii="宋体"/>
                <w:sz w:val="24"/>
                <w:szCs w:val="24"/>
              </w:rPr>
            </w:pPr>
          </w:p>
        </w:tc>
        <w:tc>
          <w:tcPr>
            <w:tcW w:w="1124" w:type="dxa"/>
            <w:vMerge w:val="continue"/>
            <w:tcBorders>
              <w:top w:val="single" w:color="000000" w:sz="6" w:space="0"/>
              <w:left w:val="single" w:color="000000" w:sz="6" w:space="0"/>
              <w:bottom w:val="nil"/>
              <w:right w:val="nil"/>
            </w:tcBorders>
            <w:shd w:val="clear" w:color="auto" w:fill="FFFFFF"/>
            <w:tcMar>
              <w:bottom w:w="0" w:type="dxa"/>
            </w:tcMar>
            <w:vAlign w:val="top"/>
          </w:tcPr>
          <w:p>
            <w:pPr>
              <w:rPr>
                <w:rFonts w:hint="eastAsia" w:ascii="宋体"/>
                <w:sz w:val="24"/>
                <w:szCs w:val="24"/>
              </w:rPr>
            </w:pPr>
          </w:p>
        </w:tc>
        <w:tc>
          <w:tcPr>
            <w:tcW w:w="4161"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top"/>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85" w:hRule="atLeast"/>
          <w:jc w:val="center"/>
        </w:trPr>
        <w:tc>
          <w:tcPr>
            <w:tcW w:w="554" w:type="dxa"/>
            <w:vMerge w:val="continue"/>
            <w:tcBorders>
              <w:top w:val="single" w:color="000000" w:sz="6" w:space="0"/>
              <w:left w:val="single" w:color="000000" w:sz="6" w:space="0"/>
              <w:bottom w:val="nil"/>
              <w:right w:val="nil"/>
            </w:tcBorders>
            <w:shd w:val="clear" w:color="auto" w:fill="FFFFFF"/>
            <w:tcMar>
              <w:bottom w:w="0" w:type="dxa"/>
            </w:tcMar>
            <w:vAlign w:val="center"/>
          </w:tcPr>
          <w:p>
            <w:pPr>
              <w:rPr>
                <w:rFonts w:hint="eastAsia" w:ascii="宋体"/>
                <w:sz w:val="24"/>
                <w:szCs w:val="24"/>
              </w:rPr>
            </w:pPr>
          </w:p>
        </w:tc>
        <w:tc>
          <w:tcPr>
            <w:tcW w:w="885"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center"/>
          </w:tcPr>
          <w:p>
            <w:pPr>
              <w:rPr>
                <w:rFonts w:hint="eastAsia" w:ascii="宋体"/>
                <w:sz w:val="24"/>
                <w:szCs w:val="24"/>
              </w:rPr>
            </w:pPr>
          </w:p>
        </w:tc>
        <w:tc>
          <w:tcPr>
            <w:tcW w:w="1377" w:type="dxa"/>
            <w:tcBorders>
              <w:top w:val="single" w:color="000000" w:sz="6" w:space="0"/>
              <w:left w:val="nil"/>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资金使用</w:t>
            </w:r>
          </w:p>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（8分）</w:t>
            </w:r>
          </w:p>
        </w:tc>
        <w:tc>
          <w:tcPr>
            <w:tcW w:w="87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974" w:type="dxa"/>
            <w:tcBorders>
              <w:top w:val="single" w:color="000000" w:sz="6" w:space="0"/>
              <w:left w:val="single" w:color="000000" w:sz="6" w:space="0"/>
              <w:bottom w:val="nil"/>
              <w:right w:val="nil"/>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1124" w:type="dxa"/>
            <w:tcBorders>
              <w:top w:val="single" w:color="000000" w:sz="6" w:space="0"/>
              <w:left w:val="single" w:color="000000" w:sz="6" w:space="0"/>
              <w:bottom w:val="nil"/>
              <w:right w:val="nil"/>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rPr>
                <w:rFonts w:hint="eastAsia" w:ascii="宋体" w:hAnsi="宋体" w:eastAsia="仿宋_gb2312" w:cs="宋体"/>
                <w:sz w:val="21"/>
                <w:szCs w:val="21"/>
                <w:lang w:val="en-US" w:eastAsia="zh-CN"/>
              </w:rPr>
            </w:pPr>
          </w:p>
        </w:tc>
        <w:tc>
          <w:tcPr>
            <w:tcW w:w="4161" w:type="dxa"/>
            <w:tcBorders>
              <w:top w:val="single" w:color="000000" w:sz="6" w:space="0"/>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firstLine="380" w:firstLineChars="200"/>
              <w:textAlignment w:val="top"/>
              <w:rPr>
                <w:rFonts w:hint="eastAsia" w:ascii="宋体" w:hAnsi="宋体" w:eastAsia="宋体" w:cs="宋体"/>
                <w:sz w:val="21"/>
                <w:szCs w:val="21"/>
              </w:rPr>
            </w:pPr>
            <w:r>
              <w:rPr>
                <w:rFonts w:hint="default" w:ascii="仿宋_gb2312" w:hAnsi="仿宋_gb2312" w:eastAsia="仿宋_gb2312" w:cs="仿宋_gb2312"/>
                <w:sz w:val="19"/>
                <w:szCs w:val="19"/>
              </w:rPr>
              <w:t>是否符合国家财经法规和财务管理制度以及有关专项资金管理办法的规定；资金的使用是否有完整的审批程序和手续；是否符合项目预算批复或合同规定的用途；未按规定使用的每项扣0.5分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85" w:hRule="atLeast"/>
          <w:jc w:val="center"/>
        </w:trPr>
        <w:tc>
          <w:tcPr>
            <w:tcW w:w="554" w:type="dxa"/>
            <w:vMerge w:val="continue"/>
            <w:tcBorders>
              <w:top w:val="single" w:color="000000" w:sz="6" w:space="0"/>
              <w:left w:val="single" w:color="000000" w:sz="6" w:space="0"/>
              <w:bottom w:val="nil"/>
              <w:right w:val="nil"/>
            </w:tcBorders>
            <w:shd w:val="clear" w:color="auto" w:fill="FFFFFF"/>
            <w:tcMar>
              <w:bottom w:w="0" w:type="dxa"/>
            </w:tcMar>
            <w:vAlign w:val="center"/>
          </w:tcPr>
          <w:p>
            <w:pPr>
              <w:rPr>
                <w:rFonts w:hint="eastAsia" w:ascii="宋体"/>
                <w:sz w:val="24"/>
                <w:szCs w:val="24"/>
              </w:rPr>
            </w:pPr>
          </w:p>
        </w:tc>
        <w:tc>
          <w:tcPr>
            <w:tcW w:w="885"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center"/>
          </w:tcPr>
          <w:p>
            <w:pPr>
              <w:rPr>
                <w:rFonts w:hint="eastAsia" w:ascii="宋体"/>
                <w:sz w:val="24"/>
                <w:szCs w:val="24"/>
              </w:rPr>
            </w:pPr>
          </w:p>
        </w:tc>
        <w:tc>
          <w:tcPr>
            <w:tcW w:w="1377" w:type="dxa"/>
            <w:tcBorders>
              <w:top w:val="single" w:color="000000" w:sz="6" w:space="0"/>
              <w:left w:val="nil"/>
              <w:bottom w:val="single" w:color="000000" w:sz="6" w:space="0"/>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制度执行</w:t>
            </w:r>
          </w:p>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（6分）</w:t>
            </w:r>
          </w:p>
        </w:tc>
        <w:tc>
          <w:tcPr>
            <w:tcW w:w="870" w:type="dxa"/>
            <w:tcBorders>
              <w:top w:val="single" w:color="000000" w:sz="6" w:space="0"/>
              <w:left w:val="single" w:color="000000" w:sz="6" w:space="0"/>
              <w:bottom w:val="single" w:color="000000" w:sz="6" w:space="0"/>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974" w:type="dxa"/>
            <w:tcBorders>
              <w:top w:val="single" w:color="000000" w:sz="6" w:space="0"/>
              <w:left w:val="single" w:color="000000" w:sz="6" w:space="0"/>
              <w:bottom w:val="single" w:color="000000" w:sz="6" w:space="0"/>
              <w:right w:val="nil"/>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1124" w:type="dxa"/>
            <w:tcBorders>
              <w:top w:val="single" w:color="000000" w:sz="6" w:space="0"/>
              <w:left w:val="single" w:color="000000" w:sz="6" w:space="0"/>
              <w:bottom w:val="single" w:color="000000" w:sz="6" w:space="0"/>
              <w:right w:val="nil"/>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4161" w:type="dxa"/>
            <w:tcBorders>
              <w:top w:val="single" w:color="000000" w:sz="6" w:space="0"/>
              <w:left w:val="single" w:color="000000" w:sz="6" w:space="0"/>
              <w:bottom w:val="single" w:color="000000" w:sz="6" w:space="0"/>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firstLine="380" w:firstLineChars="200"/>
              <w:textAlignment w:val="top"/>
              <w:rPr>
                <w:rFonts w:hint="eastAsia" w:ascii="宋体" w:hAnsi="宋体" w:eastAsia="宋体" w:cs="宋体"/>
                <w:sz w:val="21"/>
                <w:szCs w:val="21"/>
              </w:rPr>
            </w:pPr>
            <w:r>
              <w:rPr>
                <w:rFonts w:hint="default" w:ascii="仿宋_gb2312" w:hAnsi="仿宋_gb2312" w:eastAsia="仿宋_gb2312" w:cs="仿宋_gb2312"/>
                <w:sz w:val="19"/>
                <w:szCs w:val="19"/>
              </w:rPr>
              <w:t>是否遵守学校报销管理规定，项目立项、招标采购、合同书、验收报告等资料是否齐全，手续是否完备。未按规定执行财务审核发现1项扣0.2分，扣完为止。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75" w:hRule="atLeast"/>
          <w:jc w:val="center"/>
        </w:trPr>
        <w:tc>
          <w:tcPr>
            <w:tcW w:w="554" w:type="dxa"/>
            <w:tcBorders>
              <w:top w:val="nil"/>
              <w:left w:val="single" w:color="000000" w:sz="6" w:space="0"/>
              <w:bottom w:val="single" w:color="000000" w:sz="6" w:space="0"/>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885" w:type="dxa"/>
            <w:tcBorders>
              <w:top w:val="nil"/>
              <w:left w:val="single" w:color="000000" w:sz="6" w:space="0"/>
              <w:bottom w:val="single" w:color="000000" w:sz="6" w:space="0"/>
              <w:right w:val="single" w:color="000000" w:sz="6" w:space="0"/>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r>
              <w:rPr>
                <w:rFonts w:hint="default" w:ascii="仿宋_gb2312" w:hAnsi="仿宋_gb2312" w:eastAsia="仿宋_gb2312" w:cs="仿宋_gb2312"/>
                <w:sz w:val="19"/>
                <w:szCs w:val="19"/>
              </w:rPr>
              <w:t>100分</w:t>
            </w:r>
          </w:p>
        </w:tc>
        <w:tc>
          <w:tcPr>
            <w:tcW w:w="1377" w:type="dxa"/>
            <w:tcBorders>
              <w:top w:val="nil"/>
              <w:left w:val="nil"/>
              <w:bottom w:val="single" w:color="000000" w:sz="6" w:space="0"/>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合计</w:t>
            </w:r>
          </w:p>
        </w:tc>
        <w:tc>
          <w:tcPr>
            <w:tcW w:w="870" w:type="dxa"/>
            <w:tcBorders>
              <w:top w:val="nil"/>
              <w:left w:val="single" w:color="000000" w:sz="6" w:space="0"/>
              <w:bottom w:val="single" w:color="000000" w:sz="6" w:space="0"/>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974" w:type="dxa"/>
            <w:tcBorders>
              <w:top w:val="nil"/>
              <w:left w:val="single" w:color="000000" w:sz="6" w:space="0"/>
              <w:bottom w:val="single" w:color="000000" w:sz="6" w:space="0"/>
              <w:right w:val="nil"/>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1124" w:type="dxa"/>
            <w:tcBorders>
              <w:top w:val="nil"/>
              <w:left w:val="single" w:color="000000" w:sz="6" w:space="0"/>
              <w:bottom w:val="single" w:color="000000" w:sz="6" w:space="0"/>
              <w:right w:val="nil"/>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rPr>
                <w:rFonts w:hint="eastAsia" w:ascii="宋体" w:hAnsi="宋体" w:eastAsia="宋体" w:cs="宋体"/>
                <w:sz w:val="21"/>
                <w:szCs w:val="21"/>
              </w:rPr>
            </w:pPr>
          </w:p>
        </w:tc>
        <w:tc>
          <w:tcPr>
            <w:tcW w:w="4161" w:type="dxa"/>
            <w:tcBorders>
              <w:top w:val="nil"/>
              <w:left w:val="single" w:color="000000" w:sz="6" w:space="0"/>
              <w:bottom w:val="single" w:color="000000" w:sz="6" w:space="0"/>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textAlignment w:val="top"/>
              <w:rPr>
                <w:rFonts w:hint="eastAsia" w:ascii="宋体" w:hAnsi="宋体" w:eastAsia="宋体" w:cs="宋体"/>
                <w:sz w:val="21"/>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F4F9DAC-0459-49C8-8B12-903BFBDF3023}"/>
  </w:font>
  <w:font w:name="仿宋_gb2312">
    <w:altName w:val="仿宋"/>
    <w:panose1 w:val="00000000000000000000"/>
    <w:charset w:val="00"/>
    <w:family w:val="auto"/>
    <w:pitch w:val="default"/>
    <w:sig w:usb0="00000000" w:usb1="00000000" w:usb2="00000000" w:usb3="00000000" w:csb0="00000000" w:csb1="00000000"/>
    <w:embedRegular r:id="rId2" w:fontKey="{39566D89-29A2-4748-916A-9D4AC3F0A725}"/>
  </w:font>
  <w:font w:name="仿宋">
    <w:panose1 w:val="02010609060101010101"/>
    <w:charset w:val="86"/>
    <w:family w:val="auto"/>
    <w:pitch w:val="default"/>
    <w:sig w:usb0="800002BF" w:usb1="38CF7CFA" w:usb2="00000016" w:usb3="00000000" w:csb0="00040001" w:csb1="00000000"/>
    <w:embedRegular r:id="rId3" w:fontKey="{5C1278CA-EB59-4992-AD26-891340816576}"/>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3MDc4NWU4NTZlNzcxZGQ3MzlkNDFhMThjYTMzMGYifQ=="/>
  </w:docVars>
  <w:rsids>
    <w:rsidRoot w:val="30CC79A2"/>
    <w:rsid w:val="0972111F"/>
    <w:rsid w:val="30CC79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693</Words>
  <Characters>754</Characters>
  <Lines>0</Lines>
  <Paragraphs>0</Paragraphs>
  <TotalTime>3</TotalTime>
  <ScaleCrop>false</ScaleCrop>
  <LinksUpToDate>false</LinksUpToDate>
  <CharactersWithSpaces>776</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2023-06-06T03:06:00Z</dcterms:created>
  <dc:creator>YOYO</dc:creator>
  <cp:lastModifiedBy>YOYO</cp:lastModifiedBy>
  <dcterms:modified xsi:type="dcterms:W3CDTF">2023-06-06T03:10:01Z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CFAA4E0E45AD42F1BF1E5E84BDF3FADA_11</vt:lpwstr>
  </property>
</Properties>
</file>