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2"/>
        <w:keepNext w:val="0"/>
        <w:keepLines w:val="0"/>
        <w:widowControl/>
        <w:suppressLineNumbers w:val="0"/>
        <w:spacing w:before="0" w:beforeAutospacing="1" w:after="202" w:afterAutospacing="0" w:line="360" w:lineRule="auto"/>
        <w:ind w:left="0" w:right="0"/>
        <w:jc w:val="center"/>
        <w:rPr>
          <w:rFonts w:hint="eastAsia" w:ascii="仿宋" w:hAnsi="仿宋" w:eastAsia="仿宋" w:cs="仿宋"/>
          <w:b/>
          <w:bCs w:val="0"/>
          <w:sz w:val="32"/>
          <w:szCs w:val="32"/>
        </w:rPr>
      </w:pPr>
      <w:r>
        <w:rPr>
          <w:rStyle w:val="6"/>
          <w:rFonts w:hint="eastAsia" w:ascii="仿宋" w:hAnsi="仿宋" w:eastAsia="仿宋" w:cs="仿宋"/>
          <w:b/>
          <w:bCs w:val="0"/>
          <w:sz w:val="32"/>
          <w:szCs w:val="32"/>
        </w:rPr>
        <w:t>关于</w:t>
      </w:r>
      <w:r>
        <w:rPr>
          <w:rFonts w:hint="eastAsia"/>
          <w:b/>
          <w:sz w:val="32"/>
          <w:szCs w:val="32"/>
        </w:rPr>
        <w:t>编制</w:t>
      </w:r>
      <w:r>
        <w:rPr>
          <w:rStyle w:val="6"/>
          <w:rFonts w:hint="eastAsia" w:ascii="仿宋" w:hAnsi="仿宋" w:eastAsia="仿宋" w:cs="仿宋"/>
          <w:b/>
          <w:bCs w:val="0"/>
          <w:sz w:val="32"/>
          <w:szCs w:val="32"/>
          <w:lang w:val="en-US" w:eastAsia="zh-CN"/>
        </w:rPr>
        <w:t>2023年</w:t>
      </w:r>
      <w:r>
        <w:rPr>
          <w:rStyle w:val="6"/>
          <w:rFonts w:hint="default" w:ascii="仿宋" w:hAnsi="仿宋" w:eastAsia="仿宋" w:cs="仿宋"/>
          <w:b/>
          <w:bCs w:val="0"/>
          <w:sz w:val="32"/>
          <w:szCs w:val="32"/>
          <w:lang w:val="en-US" w:eastAsia="zh-CN"/>
        </w:rPr>
        <w:t>校内预算</w:t>
      </w:r>
      <w:r>
        <w:rPr>
          <w:rStyle w:val="6"/>
          <w:rFonts w:hint="eastAsia" w:ascii="仿宋" w:hAnsi="仿宋" w:eastAsia="仿宋" w:cs="仿宋"/>
          <w:b/>
          <w:bCs w:val="0"/>
          <w:sz w:val="32"/>
          <w:szCs w:val="32"/>
          <w:lang w:val="en-US" w:eastAsia="zh-CN"/>
        </w:rPr>
        <w:t>及申报项目库的通知</w:t>
      </w:r>
    </w:p>
    <w:p>
      <w:pPr>
        <w:keepNext w:val="0"/>
        <w:keepLines w:val="0"/>
        <w:pageBreakBefore w:val="0"/>
        <w:widowControl/>
        <w:kinsoku/>
        <w:wordWrap/>
        <w:overflowPunct/>
        <w:topLinePunct w:val="0"/>
        <w:autoSpaceDE/>
        <w:autoSpaceDN/>
        <w:bidi w:val="0"/>
        <w:adjustRightInd/>
        <w:spacing w:line="360" w:lineRule="auto"/>
        <w:ind w:firstLine="645"/>
        <w:jc w:val="left"/>
        <w:textAlignment w:val="auto"/>
        <w:rPr>
          <w:rFonts w:asciiTheme="minorEastAsia" w:hAnsiTheme="minorEastAsia" w:cstheme="minorEastAsia"/>
          <w:color w:val="000000"/>
          <w:kern w:val="0"/>
          <w:sz w:val="32"/>
          <w:szCs w:val="32"/>
        </w:rPr>
      </w:pPr>
      <w:r>
        <w:rPr>
          <w:rFonts w:hint="eastAsia" w:ascii="仿宋" w:hAnsi="仿宋" w:eastAsia="仿宋" w:cs="仿宋"/>
          <w:i w:val="0"/>
          <w:iCs w:val="0"/>
          <w:caps w:val="0"/>
          <w:color w:val="333333"/>
          <w:spacing w:val="0"/>
          <w:kern w:val="0"/>
          <w:sz w:val="32"/>
          <w:szCs w:val="32"/>
          <w:shd w:val="clear" w:fill="FFFFFF"/>
          <w:lang w:val="en-US" w:eastAsia="zh-CN" w:bidi="ar"/>
        </w:rPr>
        <w:t>为做好学校2023年预算编制工作，结合学校预算管理办法，根据省财政厅、省教育厅相关文件精神，学校决定从即日起开展2023年预算申报工作，现就有关事宜通知如下：</w:t>
      </w:r>
    </w:p>
    <w:p>
      <w:pPr>
        <w:keepNext w:val="0"/>
        <w:keepLines w:val="0"/>
        <w:pageBreakBefore w:val="0"/>
        <w:widowControl/>
        <w:kinsoku/>
        <w:wordWrap/>
        <w:overflowPunct/>
        <w:topLinePunct w:val="0"/>
        <w:autoSpaceDE/>
        <w:autoSpaceDN/>
        <w:bidi w:val="0"/>
        <w:adjustRightInd/>
        <w:spacing w:line="360" w:lineRule="auto"/>
        <w:ind w:firstLine="645"/>
        <w:jc w:val="left"/>
        <w:textAlignment w:val="auto"/>
        <w:rPr>
          <w:rFonts w:hint="eastAsia" w:ascii="仿宋" w:hAnsi="仿宋" w:eastAsia="仿宋" w:cs="仿宋"/>
          <w:b/>
          <w:bCs/>
          <w:i w:val="0"/>
          <w:iCs w:val="0"/>
          <w:caps w:val="0"/>
          <w:color w:val="333333"/>
          <w:spacing w:val="0"/>
          <w:kern w:val="0"/>
          <w:sz w:val="31"/>
          <w:szCs w:val="31"/>
          <w:shd w:val="clear" w:fill="FFFFFF"/>
          <w:lang w:val="en-US" w:eastAsia="zh-CN" w:bidi="ar"/>
        </w:rPr>
      </w:pPr>
      <w:r>
        <w:rPr>
          <w:rFonts w:hint="eastAsia" w:ascii="仿宋" w:hAnsi="仿宋" w:eastAsia="仿宋" w:cs="仿宋"/>
          <w:b/>
          <w:bCs/>
          <w:i w:val="0"/>
          <w:iCs w:val="0"/>
          <w:caps w:val="0"/>
          <w:color w:val="333333"/>
          <w:spacing w:val="0"/>
          <w:kern w:val="0"/>
          <w:sz w:val="31"/>
          <w:szCs w:val="31"/>
          <w:shd w:val="clear" w:fill="FFFFFF"/>
          <w:lang w:val="en-US" w:eastAsia="zh-CN" w:bidi="ar"/>
        </w:rPr>
        <w:t>一、总体要求</w:t>
      </w:r>
    </w:p>
    <w:p>
      <w:pPr>
        <w:spacing w:line="360" w:lineRule="auto"/>
        <w:ind w:firstLine="640" w:firstLineChars="200"/>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1.严格上级相关要求，建立常态化过“紧日子”的长效机制，紧密围绕学院年度重点工作任务，既保民生稳运行，又保重点促发展。各单位要严格控制 “三公经费”支出，大力压缩办公、差旅、会议等支出，降低行政运行成本。</w:t>
      </w:r>
    </w:p>
    <w:p>
      <w:pPr>
        <w:spacing w:line="360" w:lineRule="auto"/>
        <w:ind w:firstLine="640" w:firstLineChars="200"/>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2.部门预算要按照“适度从紧”的原则编制，经费支出做到统筹安排。</w:t>
      </w:r>
    </w:p>
    <w:p>
      <w:pPr>
        <w:spacing w:line="360" w:lineRule="auto"/>
        <w:ind w:firstLine="640" w:firstLineChars="200"/>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3.各部门应按年度所有因素和事项的轻重缓急，精准测算每一项支出需求，科学编制预算。</w:t>
      </w:r>
    </w:p>
    <w:p>
      <w:pPr>
        <w:jc w:val="center"/>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 xml:space="preserve">  4.部门经费支出必须做到有预算才能有支出，如涉及政府采购（集中采购目录项目或集中采购目录外但单项或者年度批量预算金额在政府采购限额标准之上的货物、工程、服务等项目）的，还须同时申报采购预算才能执行。编制政府采</w:t>
      </w:r>
    </w:p>
    <w:p>
      <w:pPr>
        <w:jc w:val="both"/>
        <w:rPr>
          <w:rFonts w:hint="default"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购预算的注意事项详见附件1、2。</w:t>
      </w:r>
    </w:p>
    <w:p>
      <w:pPr>
        <w:keepNext w:val="0"/>
        <w:keepLines w:val="0"/>
        <w:pageBreakBefore w:val="0"/>
        <w:widowControl/>
        <w:kinsoku/>
        <w:wordWrap/>
        <w:overflowPunct/>
        <w:topLinePunct w:val="0"/>
        <w:autoSpaceDE/>
        <w:autoSpaceDN/>
        <w:bidi w:val="0"/>
        <w:adjustRightInd/>
        <w:spacing w:line="360" w:lineRule="auto"/>
        <w:ind w:firstLine="645"/>
        <w:jc w:val="left"/>
        <w:textAlignment w:val="auto"/>
        <w:rPr>
          <w:rFonts w:hint="eastAsia" w:ascii="仿宋" w:hAnsi="仿宋" w:eastAsia="仿宋" w:cs="仿宋"/>
          <w:b/>
          <w:bCs/>
          <w:i w:val="0"/>
          <w:iCs w:val="0"/>
          <w:caps w:val="0"/>
          <w:color w:val="333333"/>
          <w:spacing w:val="0"/>
          <w:kern w:val="0"/>
          <w:sz w:val="31"/>
          <w:szCs w:val="31"/>
          <w:shd w:val="clear" w:fill="FFFFFF"/>
          <w:lang w:val="en-US" w:eastAsia="zh-CN" w:bidi="ar"/>
        </w:rPr>
      </w:pPr>
      <w:r>
        <w:rPr>
          <w:rFonts w:hint="eastAsia" w:ascii="仿宋" w:hAnsi="仿宋" w:eastAsia="仿宋" w:cs="仿宋"/>
          <w:b/>
          <w:bCs/>
          <w:i w:val="0"/>
          <w:iCs w:val="0"/>
          <w:caps w:val="0"/>
          <w:color w:val="333333"/>
          <w:spacing w:val="0"/>
          <w:kern w:val="0"/>
          <w:sz w:val="31"/>
          <w:szCs w:val="31"/>
          <w:shd w:val="clear" w:fill="FFFFFF"/>
          <w:lang w:val="en-US" w:eastAsia="zh-CN" w:bidi="ar"/>
        </w:rPr>
        <w:t>二、申报内容</w:t>
      </w:r>
    </w:p>
    <w:p>
      <w:pPr>
        <w:keepNext w:val="0"/>
        <w:keepLines w:val="0"/>
        <w:pageBreakBefore w:val="0"/>
        <w:widowControl/>
        <w:kinsoku/>
        <w:wordWrap/>
        <w:overflowPunct/>
        <w:topLinePunct w:val="0"/>
        <w:autoSpaceDE/>
        <w:autoSpaceDN/>
        <w:bidi w:val="0"/>
        <w:adjustRightInd/>
        <w:spacing w:line="360" w:lineRule="auto"/>
        <w:ind w:firstLine="645"/>
        <w:jc w:val="left"/>
        <w:textAlignment w:val="auto"/>
        <w:rPr>
          <w:rFonts w:hint="default" w:ascii="仿宋" w:hAnsi="仿宋" w:eastAsia="仿宋" w:cs="仿宋"/>
          <w:b/>
          <w:bCs/>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本次预算在财务全面预算管理系统上进行申报。</w:t>
      </w:r>
    </w:p>
    <w:p>
      <w:pPr>
        <w:numPr>
          <w:ilvl w:val="0"/>
          <w:numId w:val="1"/>
        </w:numPr>
        <w:spacing w:before="156" w:beforeLines="50" w:after="156" w:afterLines="50" w:line="360" w:lineRule="auto"/>
        <w:ind w:firstLine="622" w:firstLineChars="200"/>
        <w:outlineLvl w:val="1"/>
        <w:rPr>
          <w:rFonts w:hint="eastAsia" w:ascii="仿宋" w:hAnsi="仿宋" w:eastAsia="仿宋" w:cs="仿宋"/>
          <w:b/>
          <w:bCs/>
          <w:i w:val="0"/>
          <w:iCs w:val="0"/>
          <w:caps w:val="0"/>
          <w:color w:val="333333"/>
          <w:spacing w:val="0"/>
          <w:kern w:val="0"/>
          <w:sz w:val="31"/>
          <w:szCs w:val="31"/>
          <w:shd w:val="clear" w:fill="FFFFFF"/>
          <w:lang w:val="en-US" w:eastAsia="zh-CN" w:bidi="ar"/>
        </w:rPr>
      </w:pPr>
      <w:r>
        <w:rPr>
          <w:rFonts w:hint="eastAsia" w:ascii="仿宋" w:hAnsi="仿宋" w:eastAsia="仿宋" w:cs="仿宋"/>
          <w:b/>
          <w:bCs/>
          <w:i w:val="0"/>
          <w:iCs w:val="0"/>
          <w:caps w:val="0"/>
          <w:color w:val="333333"/>
          <w:spacing w:val="0"/>
          <w:kern w:val="0"/>
          <w:sz w:val="31"/>
          <w:szCs w:val="31"/>
          <w:shd w:val="clear" w:fill="FFFFFF"/>
          <w:lang w:val="en-US" w:eastAsia="zh-CN" w:bidi="ar"/>
        </w:rPr>
        <w:t>校内预算：人员经费、公用经费、学生资助经费、基本后勤保障等正常办公经费申报。</w:t>
      </w:r>
      <w:bookmarkStart w:id="0" w:name="_GoBack"/>
      <w:bookmarkEnd w:id="0"/>
    </w:p>
    <w:p>
      <w:pPr>
        <w:keepNext w:val="0"/>
        <w:keepLines w:val="0"/>
        <w:pageBreakBefore w:val="0"/>
        <w:widowControl/>
        <w:kinsoku/>
        <w:wordWrap/>
        <w:overflowPunct/>
        <w:topLinePunct w:val="0"/>
        <w:autoSpaceDE/>
        <w:autoSpaceDN/>
        <w:bidi w:val="0"/>
        <w:adjustRightInd/>
        <w:spacing w:line="360" w:lineRule="auto"/>
        <w:ind w:firstLine="645"/>
        <w:jc w:val="left"/>
        <w:textAlignment w:val="auto"/>
        <w:rPr>
          <w:rFonts w:hint="default"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1.</w:t>
      </w:r>
      <w:r>
        <w:rPr>
          <w:rFonts w:hint="eastAsia" w:ascii="仿宋" w:hAnsi="仿宋" w:eastAsia="仿宋" w:cs="仿宋"/>
          <w:b/>
          <w:bCs/>
          <w:i w:val="0"/>
          <w:iCs w:val="0"/>
          <w:caps w:val="0"/>
          <w:color w:val="333333"/>
          <w:spacing w:val="0"/>
          <w:kern w:val="0"/>
          <w:sz w:val="31"/>
          <w:szCs w:val="31"/>
          <w:shd w:val="clear" w:fill="FFFFFF"/>
          <w:lang w:val="en-US" w:eastAsia="zh-CN" w:bidi="ar"/>
        </w:rPr>
        <w:t>收入预算申报：</w:t>
      </w:r>
    </w:p>
    <w:p>
      <w:pPr>
        <w:keepNext w:val="0"/>
        <w:keepLines w:val="0"/>
        <w:pageBreakBefore w:val="0"/>
        <w:widowControl/>
        <w:kinsoku/>
        <w:wordWrap/>
        <w:overflowPunct/>
        <w:topLinePunct w:val="0"/>
        <w:autoSpaceDE/>
        <w:autoSpaceDN/>
        <w:bidi w:val="0"/>
        <w:adjustRightInd/>
        <w:spacing w:line="360" w:lineRule="auto"/>
        <w:ind w:firstLine="645"/>
        <w:jc w:val="left"/>
        <w:textAlignment w:val="auto"/>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请各部门将本部门归口管理的2023年可能从上级获得的各类补助、科研经费、校企合作、学生奖助学金、各类培训、房产租赁等收入进行统计测算。</w:t>
      </w:r>
    </w:p>
    <w:p>
      <w:pPr>
        <w:keepNext w:val="0"/>
        <w:keepLines w:val="0"/>
        <w:pageBreakBefore w:val="0"/>
        <w:widowControl/>
        <w:kinsoku/>
        <w:wordWrap/>
        <w:overflowPunct/>
        <w:topLinePunct w:val="0"/>
        <w:autoSpaceDE/>
        <w:autoSpaceDN/>
        <w:bidi w:val="0"/>
        <w:adjustRightInd/>
        <w:spacing w:line="360" w:lineRule="auto"/>
        <w:ind w:firstLine="645"/>
        <w:jc w:val="left"/>
        <w:textAlignment w:val="auto"/>
        <w:rPr>
          <w:rFonts w:hint="eastAsia" w:ascii="仿宋" w:hAnsi="仿宋" w:eastAsia="仿宋" w:cs="仿宋"/>
          <w:b/>
          <w:bCs/>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2.</w:t>
      </w:r>
      <w:r>
        <w:rPr>
          <w:rFonts w:hint="eastAsia" w:ascii="仿宋" w:hAnsi="仿宋" w:eastAsia="仿宋" w:cs="仿宋"/>
          <w:b/>
          <w:bCs/>
          <w:i w:val="0"/>
          <w:iCs w:val="0"/>
          <w:caps w:val="0"/>
          <w:color w:val="333333"/>
          <w:spacing w:val="0"/>
          <w:kern w:val="0"/>
          <w:sz w:val="31"/>
          <w:szCs w:val="31"/>
          <w:shd w:val="clear" w:fill="FFFFFF"/>
          <w:lang w:val="en-US" w:eastAsia="zh-CN" w:bidi="ar"/>
        </w:rPr>
        <w:t>支出项目申报：</w:t>
      </w:r>
    </w:p>
    <w:p>
      <w:pPr>
        <w:ind w:firstLine="640" w:firstLineChars="200"/>
        <w:jc w:val="left"/>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2.1人员经费由人事处填报，需细化至在编、校聘、代理等人员分类，绩效工资、五险一金等支出明细。</w:t>
      </w:r>
    </w:p>
    <w:p>
      <w:pPr>
        <w:ind w:firstLine="620" w:firstLineChars="200"/>
        <w:jc w:val="left"/>
        <w:rPr>
          <w:rFonts w:hint="default" w:ascii="仿宋" w:hAnsi="仿宋" w:eastAsia="仿宋" w:cs="仿宋"/>
          <w:b w:val="0"/>
          <w:bCs w:val="0"/>
          <w:kern w:val="0"/>
          <w:sz w:val="32"/>
          <w:szCs w:val="32"/>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 xml:space="preserve">2.2 </w:t>
      </w:r>
      <w:r>
        <w:rPr>
          <w:rFonts w:hint="eastAsia" w:ascii="仿宋" w:hAnsi="仿宋" w:eastAsia="仿宋" w:cs="仿宋"/>
          <w:b w:val="0"/>
          <w:bCs w:val="0"/>
          <w:kern w:val="0"/>
          <w:sz w:val="32"/>
          <w:szCs w:val="32"/>
          <w:lang w:val="en-US" w:eastAsia="zh-CN" w:bidi="ar"/>
        </w:rPr>
        <w:t>各部门经常性项目支出申报，请各部门根据部门2023年业务拟开展情况，结合近几年预算数和执行情况，测算经费支出预算，如经费支出中涉及政府采购和服务购买的，在预算申报同时填所采购指标。</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70" w:lineRule="atLeast"/>
        <w:ind w:right="0" w:rightChars="0" w:firstLine="622" w:firstLineChars="200"/>
        <w:jc w:val="left"/>
        <w:rPr>
          <w:rFonts w:hint="eastAsia" w:ascii="仿宋" w:hAnsi="仿宋" w:eastAsia="仿宋" w:cs="仿宋"/>
          <w:b/>
          <w:bCs/>
          <w:i w:val="0"/>
          <w:iCs w:val="0"/>
          <w:caps w:val="0"/>
          <w:color w:val="333333"/>
          <w:spacing w:val="0"/>
          <w:kern w:val="0"/>
          <w:sz w:val="31"/>
          <w:szCs w:val="31"/>
          <w:shd w:val="clear" w:fill="FFFFFF"/>
          <w:lang w:val="en-US" w:eastAsia="zh-CN" w:bidi="ar"/>
        </w:rPr>
      </w:pPr>
      <w:r>
        <w:rPr>
          <w:rFonts w:hint="eastAsia" w:ascii="仿宋" w:hAnsi="仿宋" w:eastAsia="仿宋" w:cs="仿宋"/>
          <w:b/>
          <w:bCs/>
          <w:i w:val="0"/>
          <w:iCs w:val="0"/>
          <w:caps w:val="0"/>
          <w:color w:val="333333"/>
          <w:spacing w:val="0"/>
          <w:kern w:val="0"/>
          <w:sz w:val="31"/>
          <w:szCs w:val="31"/>
          <w:shd w:val="clear" w:fill="FFFFFF"/>
          <w:lang w:val="en-US" w:eastAsia="zh-CN" w:bidi="ar"/>
        </w:rPr>
        <w:t>（二）项目库申报：除校内日常办公经费以外的项目形式管理的所有经费，即指专项支出申报。</w:t>
      </w:r>
    </w:p>
    <w:p>
      <w:pPr>
        <w:pStyle w:val="2"/>
        <w:keepNext w:val="0"/>
        <w:keepLines w:val="0"/>
        <w:widowControl/>
        <w:suppressLineNumbers w:val="0"/>
        <w:spacing w:before="0" w:beforeAutospacing="0" w:after="0" w:afterAutospacing="0"/>
        <w:ind w:left="0" w:right="0" w:firstLine="622" w:firstLineChars="200"/>
        <w:rPr>
          <w:rFonts w:hint="eastAsia" w:ascii="仿宋" w:hAnsi="仿宋" w:eastAsia="仿宋" w:cs="仿宋"/>
          <w:b/>
          <w:bCs/>
          <w:i w:val="0"/>
          <w:iCs w:val="0"/>
          <w:caps w:val="0"/>
          <w:color w:val="C00000"/>
          <w:spacing w:val="0"/>
          <w:kern w:val="0"/>
          <w:sz w:val="31"/>
          <w:szCs w:val="31"/>
          <w:shd w:val="clear" w:fill="FFFFFF"/>
          <w:lang w:val="en-US" w:eastAsia="zh-CN" w:bidi="ar"/>
        </w:rPr>
      </w:pPr>
      <w:r>
        <w:rPr>
          <w:rFonts w:hint="eastAsia" w:ascii="仿宋" w:hAnsi="仿宋" w:eastAsia="仿宋" w:cs="仿宋"/>
          <w:b/>
          <w:bCs/>
          <w:i w:val="0"/>
          <w:iCs w:val="0"/>
          <w:caps w:val="0"/>
          <w:color w:val="C00000"/>
          <w:spacing w:val="0"/>
          <w:kern w:val="0"/>
          <w:sz w:val="31"/>
          <w:szCs w:val="31"/>
          <w:shd w:val="clear" w:fill="FFFFFF"/>
          <w:lang w:val="en-US" w:eastAsia="zh-CN" w:bidi="ar"/>
        </w:rPr>
        <w:t>请各部门在进行项目库申报时，应上传完整论证报告（或建议方案），充分说明立项的必要性、合理性、可行性；绩效目标设定清晰明确、量化可评，测算依据充分准确；政府采购指标分类明确。支出明细细化到经济分类科目。申报内容不完整的项目不予纳入2023年预算安排。</w:t>
      </w:r>
    </w:p>
    <w:p>
      <w:pPr>
        <w:pStyle w:val="2"/>
        <w:keepNext w:val="0"/>
        <w:keepLines w:val="0"/>
        <w:widowControl/>
        <w:suppressLineNumbers w:val="0"/>
        <w:spacing w:before="0" w:beforeAutospacing="0" w:after="0" w:afterAutospacing="0"/>
        <w:ind w:left="0" w:right="0" w:firstLine="640" w:firstLineChars="200"/>
        <w:rPr>
          <w:rFonts w:hint="default" w:ascii="仿宋" w:hAnsi="仿宋" w:eastAsia="仿宋" w:cs="仿宋"/>
          <w:i w:val="0"/>
          <w:iCs w:val="0"/>
          <w:caps w:val="0"/>
          <w:color w:val="333333"/>
          <w:spacing w:val="0"/>
          <w:kern w:val="0"/>
          <w:sz w:val="32"/>
          <w:szCs w:val="32"/>
          <w:shd w:val="clear" w:fill="FFFFFF"/>
          <w:lang w:val="en-US" w:eastAsia="zh-CN" w:bidi="ar"/>
        </w:rPr>
      </w:pPr>
      <w:r>
        <w:rPr>
          <w:rFonts w:hint="default" w:ascii="仿宋" w:hAnsi="仿宋" w:eastAsia="仿宋" w:cs="仿宋"/>
          <w:b w:val="0"/>
          <w:bCs w:val="0"/>
          <w:kern w:val="0"/>
          <w:sz w:val="32"/>
          <w:szCs w:val="32"/>
          <w:lang w:val="en-US" w:eastAsia="zh-CN" w:bidi="ar"/>
        </w:rPr>
        <w:drawing>
          <wp:inline distT="0" distB="0" distL="114300" distR="114300">
            <wp:extent cx="2267585" cy="2949575"/>
            <wp:effectExtent l="0" t="0" r="18415" b="3175"/>
            <wp:docPr id="1" name="图片 1" descr="1655796644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5796644573"/>
                    <pic:cNvPicPr>
                      <a:picLocks noChangeAspect="1"/>
                    </pic:cNvPicPr>
                  </pic:nvPicPr>
                  <pic:blipFill>
                    <a:blip r:embed="rId4"/>
                    <a:stretch>
                      <a:fillRect/>
                    </a:stretch>
                  </pic:blipFill>
                  <pic:spPr>
                    <a:xfrm>
                      <a:off x="0" y="0"/>
                      <a:ext cx="2267585" cy="2949575"/>
                    </a:xfrm>
                    <a:prstGeom prst="rect">
                      <a:avLst/>
                    </a:prstGeom>
                  </pic:spPr>
                </pic:pic>
              </a:graphicData>
            </a:graphic>
          </wp:inline>
        </w:drawing>
      </w:r>
    </w:p>
    <w:p>
      <w:pPr>
        <w:pStyle w:val="2"/>
        <w:keepNext w:val="0"/>
        <w:keepLines w:val="0"/>
        <w:widowControl/>
        <w:suppressLineNumbers w:val="0"/>
        <w:spacing w:before="0" w:beforeAutospacing="1" w:after="0" w:afterAutospacing="0" w:line="360" w:lineRule="auto"/>
        <w:ind w:left="0" w:right="0" w:firstLine="562"/>
        <w:jc w:val="left"/>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学校对不同类型的</w:t>
      </w:r>
      <w:r>
        <w:rPr>
          <w:rFonts w:hint="eastAsia" w:ascii="仿宋" w:hAnsi="仿宋" w:eastAsia="仿宋" w:cs="仿宋"/>
          <w:i w:val="0"/>
          <w:iCs w:val="0"/>
          <w:caps w:val="0"/>
          <w:color w:val="333333"/>
          <w:spacing w:val="0"/>
          <w:sz w:val="32"/>
          <w:szCs w:val="32"/>
          <w:shd w:val="clear" w:fill="FFFFFF"/>
        </w:rPr>
        <w:t>项目库实行分类设置</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lang w:val="en-US" w:eastAsia="zh-CN"/>
        </w:rPr>
        <w:t>请各部门按类别进行预算申报</w:t>
      </w:r>
      <w:r>
        <w:rPr>
          <w:rFonts w:hint="eastAsia" w:ascii="仿宋" w:hAnsi="仿宋" w:eastAsia="仿宋" w:cs="仿宋"/>
          <w:i w:val="0"/>
          <w:iCs w:val="0"/>
          <w:caps w:val="0"/>
          <w:color w:val="333333"/>
          <w:spacing w:val="0"/>
          <w:sz w:val="32"/>
          <w:szCs w:val="32"/>
          <w:shd w:val="clear" w:fill="FFFFFF"/>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70" w:lineRule="atLeast"/>
        <w:ind w:right="0" w:firstLine="640" w:firstLineChars="200"/>
        <w:jc w:val="left"/>
        <w:rPr>
          <w:rFonts w:hint="eastAsia" w:ascii="仿宋" w:hAnsi="仿宋" w:eastAsia="仿宋" w:cs="仿宋"/>
          <w:i w:val="0"/>
          <w:iCs w:val="0"/>
          <w:caps w:val="0"/>
          <w:color w:val="333333"/>
          <w:spacing w:val="0"/>
          <w:kern w:val="0"/>
          <w:sz w:val="32"/>
          <w:szCs w:val="32"/>
          <w:shd w:val="clear" w:fill="FFFFFF"/>
          <w:lang w:val="en-US" w:eastAsia="zh-CN" w:bidi="ar"/>
        </w:rPr>
      </w:pPr>
      <w:r>
        <w:rPr>
          <w:rFonts w:hint="eastAsia" w:ascii="仿宋" w:hAnsi="仿宋" w:eastAsia="仿宋" w:cs="仿宋"/>
          <w:i w:val="0"/>
          <w:iCs w:val="0"/>
          <w:caps w:val="0"/>
          <w:color w:val="333333"/>
          <w:spacing w:val="0"/>
          <w:kern w:val="0"/>
          <w:sz w:val="32"/>
          <w:szCs w:val="32"/>
          <w:shd w:val="clear" w:fill="FFFFFF"/>
          <w:lang w:val="en-US" w:eastAsia="zh-CN" w:bidi="ar"/>
        </w:rPr>
        <w:t>各部门职责归口分类如下：</w:t>
      </w:r>
    </w:p>
    <w:tbl>
      <w:tblPr>
        <w:tblStyle w:val="4"/>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3"/>
        <w:gridCol w:w="1890"/>
        <w:gridCol w:w="4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63" w:type="dxa"/>
            <w:noWrap w:val="0"/>
            <w:vAlign w:val="center"/>
          </w:tcPr>
          <w:p>
            <w:pPr>
              <w:jc w:val="center"/>
              <w:rPr>
                <w:rFonts w:hint="eastAsia" w:ascii="仿宋" w:hAnsi="仿宋" w:eastAsia="仿宋" w:cs="仿宋"/>
                <w:b/>
                <w:bCs/>
                <w:i w:val="0"/>
                <w:caps w:val="0"/>
                <w:color w:val="333333"/>
                <w:spacing w:val="0"/>
                <w:kern w:val="0"/>
                <w:sz w:val="24"/>
                <w:szCs w:val="24"/>
                <w:shd w:val="clear" w:color="auto" w:fill="FFFFFF"/>
                <w:lang w:val="en-US" w:eastAsia="zh-CN" w:bidi="ar"/>
              </w:rPr>
            </w:pPr>
            <w:r>
              <w:rPr>
                <w:rFonts w:hint="eastAsia" w:ascii="仿宋" w:hAnsi="仿宋" w:eastAsia="仿宋" w:cs="仿宋"/>
                <w:b/>
                <w:bCs/>
                <w:i w:val="0"/>
                <w:caps w:val="0"/>
                <w:color w:val="333333"/>
                <w:spacing w:val="0"/>
                <w:kern w:val="0"/>
                <w:sz w:val="24"/>
                <w:szCs w:val="24"/>
                <w:shd w:val="clear" w:color="auto" w:fill="FFFFFF"/>
                <w:lang w:val="en-US" w:eastAsia="zh-CN" w:bidi="ar"/>
              </w:rPr>
              <w:t>类别</w:t>
            </w:r>
          </w:p>
        </w:tc>
        <w:tc>
          <w:tcPr>
            <w:tcW w:w="1890" w:type="dxa"/>
            <w:noWrap w:val="0"/>
            <w:vAlign w:val="center"/>
          </w:tcPr>
          <w:p>
            <w:pPr>
              <w:jc w:val="center"/>
              <w:rPr>
                <w:rFonts w:hint="eastAsia" w:ascii="仿宋" w:hAnsi="仿宋" w:eastAsia="仿宋" w:cs="仿宋"/>
                <w:b/>
                <w:bCs/>
                <w:i w:val="0"/>
                <w:caps w:val="0"/>
                <w:color w:val="333333"/>
                <w:spacing w:val="0"/>
                <w:kern w:val="0"/>
                <w:sz w:val="24"/>
                <w:szCs w:val="24"/>
                <w:shd w:val="clear" w:color="auto" w:fill="FFFFFF"/>
                <w:lang w:val="en-US" w:eastAsia="zh-CN" w:bidi="ar"/>
              </w:rPr>
            </w:pPr>
            <w:r>
              <w:rPr>
                <w:rFonts w:hint="eastAsia" w:ascii="仿宋" w:hAnsi="仿宋" w:eastAsia="仿宋" w:cs="仿宋"/>
                <w:b/>
                <w:bCs/>
                <w:i w:val="0"/>
                <w:caps w:val="0"/>
                <w:color w:val="333333"/>
                <w:spacing w:val="0"/>
                <w:kern w:val="0"/>
                <w:sz w:val="24"/>
                <w:szCs w:val="24"/>
                <w:shd w:val="clear" w:color="auto" w:fill="FFFFFF"/>
                <w:lang w:val="en-US" w:eastAsia="zh-CN" w:bidi="ar"/>
              </w:rPr>
              <w:t>归口管理</w:t>
            </w:r>
          </w:p>
        </w:tc>
        <w:tc>
          <w:tcPr>
            <w:tcW w:w="4006" w:type="dxa"/>
            <w:noWrap w:val="0"/>
            <w:vAlign w:val="center"/>
          </w:tcPr>
          <w:p>
            <w:pPr>
              <w:jc w:val="center"/>
              <w:rPr>
                <w:rFonts w:hint="eastAsia" w:ascii="仿宋" w:hAnsi="仿宋" w:eastAsia="仿宋" w:cs="仿宋"/>
                <w:b/>
                <w:bCs/>
                <w:i w:val="0"/>
                <w:caps w:val="0"/>
                <w:color w:val="333333"/>
                <w:spacing w:val="0"/>
                <w:kern w:val="0"/>
                <w:sz w:val="24"/>
                <w:szCs w:val="24"/>
                <w:shd w:val="clear" w:color="auto" w:fill="FFFFFF"/>
                <w:lang w:val="en-US" w:eastAsia="zh-CN" w:bidi="ar"/>
              </w:rPr>
            </w:pPr>
            <w:r>
              <w:rPr>
                <w:rFonts w:hint="eastAsia" w:ascii="仿宋" w:hAnsi="仿宋" w:eastAsia="仿宋" w:cs="仿宋"/>
                <w:b/>
                <w:bCs/>
                <w:i w:val="0"/>
                <w:caps w:val="0"/>
                <w:color w:val="333333"/>
                <w:spacing w:val="0"/>
                <w:kern w:val="0"/>
                <w:sz w:val="24"/>
                <w:szCs w:val="24"/>
                <w:shd w:val="clear" w:color="auto" w:fill="FFFFFF"/>
                <w:lang w:val="en-US" w:eastAsia="zh-CN" w:bidi="ar"/>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党建类</w:t>
            </w:r>
          </w:p>
        </w:tc>
        <w:tc>
          <w:tcPr>
            <w:tcW w:w="1890"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组织部</w:t>
            </w:r>
          </w:p>
        </w:tc>
        <w:tc>
          <w:tcPr>
            <w:tcW w:w="4006" w:type="dxa"/>
            <w:noWrap w:val="0"/>
            <w:vAlign w:val="center"/>
          </w:tcPr>
          <w:p>
            <w:pPr>
              <w:jc w:val="left"/>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加强党的建设、榜样支部建设等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2463"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宣传类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宣传部</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宣传等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学生活动类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学工部（处）</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学生活动、学生管理、创新创业等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463"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团学活动类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团委</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美育、社会实践等建设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2463"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教学类</w:t>
            </w:r>
          </w:p>
        </w:tc>
        <w:tc>
          <w:tcPr>
            <w:tcW w:w="1890"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教务处</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专业及课程建设、教学团队建设等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2463"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实习实训基地建设类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教务处</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实习实训基地建设等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实验室建设类</w:t>
            </w:r>
          </w:p>
        </w:tc>
        <w:tc>
          <w:tcPr>
            <w:tcW w:w="1890"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教务处</w:t>
            </w:r>
          </w:p>
        </w:tc>
        <w:tc>
          <w:tcPr>
            <w:tcW w:w="4006" w:type="dxa"/>
            <w:noWrap w:val="0"/>
            <w:vAlign w:val="center"/>
          </w:tcPr>
          <w:p>
            <w:pPr>
              <w:jc w:val="left"/>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教学实验室建设多媒体及网络教学建设等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463"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人力资源建设类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人事处</w:t>
            </w:r>
          </w:p>
        </w:tc>
        <w:tc>
          <w:tcPr>
            <w:tcW w:w="4006" w:type="dxa"/>
            <w:noWrap w:val="0"/>
            <w:vAlign w:val="center"/>
          </w:tcPr>
          <w:p>
            <w:pPr>
              <w:jc w:val="left"/>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高层次人才引进等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2463"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师资队伍建设类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教师工作部</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队伍建设基地、大师工作室、师资培养培训等项目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2463" w:type="dxa"/>
            <w:noWrap w:val="0"/>
            <w:vAlign w:val="center"/>
          </w:tcPr>
          <w:p>
            <w:pPr>
              <w:pStyle w:val="2"/>
              <w:keepNext w:val="0"/>
              <w:keepLines w:val="0"/>
              <w:widowControl/>
              <w:suppressLineNumbers w:val="0"/>
              <w:spacing w:before="0" w:beforeAutospacing="0" w:after="0" w:afterAutospacing="0"/>
              <w:ind w:left="0" w:right="0" w:firstLine="0"/>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科研技术及社会服务类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科技处</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科研创新团队、技术研发与服务等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信息化建设类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数据中心</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信息化建设类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463"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后勤保障类类</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后勤处</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基础设施改扩建、大型修缮等建设项目后勤处管理等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校园安全保卫类</w:t>
            </w:r>
          </w:p>
        </w:tc>
        <w:tc>
          <w:tcPr>
            <w:tcW w:w="1890"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保卫处</w:t>
            </w:r>
          </w:p>
        </w:tc>
        <w:tc>
          <w:tcPr>
            <w:tcW w:w="4006" w:type="dxa"/>
            <w:noWrap w:val="0"/>
            <w:vAlign w:val="center"/>
          </w:tcPr>
          <w:p>
            <w:pPr>
              <w:jc w:val="left"/>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校园安全、消防等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463" w:type="dxa"/>
            <w:noWrap w:val="0"/>
            <w:vAlign w:val="center"/>
          </w:tcPr>
          <w:p>
            <w:pPr>
              <w:pStyle w:val="2"/>
              <w:keepNext w:val="0"/>
              <w:keepLines w:val="0"/>
              <w:widowControl/>
              <w:suppressLineNumbers w:val="0"/>
              <w:spacing w:before="0" w:beforeAutospacing="0" w:after="0" w:afterAutospacing="0"/>
              <w:ind w:left="0" w:right="0" w:firstLine="0"/>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国际合作与交流类</w:t>
            </w:r>
          </w:p>
        </w:tc>
        <w:tc>
          <w:tcPr>
            <w:tcW w:w="1890"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对外交流中心</w:t>
            </w:r>
          </w:p>
        </w:tc>
        <w:tc>
          <w:tcPr>
            <w:tcW w:w="4006" w:type="dxa"/>
            <w:noWrap w:val="0"/>
            <w:vAlign w:val="center"/>
          </w:tcPr>
          <w:p>
            <w:pPr>
              <w:jc w:val="left"/>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国际合作下交流项目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463" w:type="dxa"/>
            <w:noWrap w:val="0"/>
            <w:vAlign w:val="center"/>
          </w:tcPr>
          <w:p>
            <w:pPr>
              <w:pStyle w:val="2"/>
              <w:keepNext w:val="0"/>
              <w:keepLines w:val="0"/>
              <w:widowControl/>
              <w:suppressLineNumbers w:val="0"/>
              <w:spacing w:before="0" w:beforeAutospacing="0" w:after="0" w:afterAutospacing="0"/>
              <w:ind w:left="0" w:right="0" w:firstLine="0"/>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图书文献电子资源类</w:t>
            </w:r>
          </w:p>
        </w:tc>
        <w:tc>
          <w:tcPr>
            <w:tcW w:w="1890" w:type="dxa"/>
            <w:noWrap w:val="0"/>
            <w:vAlign w:val="center"/>
          </w:tcPr>
          <w:p>
            <w:pPr>
              <w:jc w:val="center"/>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图书馆</w:t>
            </w:r>
          </w:p>
        </w:tc>
        <w:tc>
          <w:tcPr>
            <w:tcW w:w="4006" w:type="dxa"/>
            <w:noWrap w:val="0"/>
            <w:vAlign w:val="center"/>
          </w:tcPr>
          <w:p>
            <w:pPr>
              <w:jc w:val="left"/>
              <w:rPr>
                <w:rFonts w:hint="default"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图书文献电子资源等项目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2463"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其他项目</w:t>
            </w:r>
          </w:p>
        </w:tc>
        <w:tc>
          <w:tcPr>
            <w:tcW w:w="1890" w:type="dxa"/>
            <w:noWrap w:val="0"/>
            <w:vAlign w:val="center"/>
          </w:tcPr>
          <w:p>
            <w:pPr>
              <w:jc w:val="center"/>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相应职能部门</w:t>
            </w:r>
          </w:p>
        </w:tc>
        <w:tc>
          <w:tcPr>
            <w:tcW w:w="4006" w:type="dxa"/>
            <w:noWrap w:val="0"/>
            <w:vAlign w:val="center"/>
          </w:tcPr>
          <w:p>
            <w:pPr>
              <w:jc w:val="left"/>
              <w:rPr>
                <w:rFonts w:hint="eastAsia" w:ascii="仿宋" w:hAnsi="仿宋" w:eastAsia="仿宋" w:cs="仿宋"/>
                <w:i w:val="0"/>
                <w:caps w:val="0"/>
                <w:color w:val="333333"/>
                <w:spacing w:val="0"/>
                <w:kern w:val="0"/>
                <w:sz w:val="24"/>
                <w:szCs w:val="24"/>
                <w:shd w:val="clear" w:color="auto" w:fill="FFFFFF"/>
                <w:lang w:val="en-US" w:eastAsia="zh-CN" w:bidi="ar"/>
              </w:rPr>
            </w:pPr>
            <w:r>
              <w:rPr>
                <w:rFonts w:hint="eastAsia" w:ascii="仿宋" w:hAnsi="仿宋" w:eastAsia="仿宋" w:cs="仿宋"/>
                <w:i w:val="0"/>
                <w:caps w:val="0"/>
                <w:color w:val="333333"/>
                <w:spacing w:val="0"/>
                <w:kern w:val="0"/>
                <w:sz w:val="24"/>
                <w:szCs w:val="24"/>
                <w:shd w:val="clear" w:color="auto" w:fill="FFFFFF"/>
                <w:lang w:val="en-US" w:eastAsia="zh-CN" w:bidi="ar"/>
              </w:rPr>
              <w:t>根据实际需求建设</w:t>
            </w:r>
          </w:p>
        </w:tc>
      </w:tr>
    </w:tbl>
    <w:p>
      <w:pPr>
        <w:pStyle w:val="2"/>
        <w:keepNext w:val="0"/>
        <w:keepLines w:val="0"/>
        <w:widowControl/>
        <w:suppressLineNumbers w:val="0"/>
        <w:spacing w:before="0" w:beforeAutospacing="1" w:after="0" w:afterAutospacing="0" w:line="360" w:lineRule="auto"/>
        <w:ind w:right="0"/>
        <w:jc w:val="left"/>
        <w:rPr>
          <w:rFonts w:hint="eastAsia" w:ascii="仿宋" w:hAnsi="仿宋" w:eastAsia="仿宋" w:cs="仿宋"/>
          <w:i w:val="0"/>
          <w:iCs w:val="0"/>
          <w:caps w:val="0"/>
          <w:color w:val="333333"/>
          <w:spacing w:val="0"/>
          <w:kern w:val="0"/>
          <w:sz w:val="31"/>
          <w:szCs w:val="31"/>
          <w:shd w:val="clear" w:fill="FFFFFF"/>
          <w:lang w:val="en-US" w:eastAsia="zh-CN" w:bidi="ar"/>
        </w:rPr>
      </w:pPr>
    </w:p>
    <w:p>
      <w:pPr>
        <w:pStyle w:val="2"/>
        <w:keepNext w:val="0"/>
        <w:keepLines w:val="0"/>
        <w:widowControl/>
        <w:suppressLineNumbers w:val="0"/>
        <w:spacing w:before="0" w:beforeAutospacing="1" w:after="0" w:afterAutospacing="0" w:line="360" w:lineRule="auto"/>
        <w:ind w:right="0" w:firstLine="620" w:firstLineChars="200"/>
        <w:jc w:val="left"/>
        <w:rPr>
          <w:rFonts w:hint="default"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三、时间安排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rPr>
          <w:rFonts w:hint="default" w:eastAsia="仿宋"/>
          <w:b/>
          <w:bCs/>
          <w:color w:val="333333"/>
          <w:lang w:val="en-US" w:eastAsia="zh-CN"/>
        </w:rPr>
      </w:pPr>
      <w:r>
        <w:rPr>
          <w:rFonts w:hint="eastAsia" w:ascii="仿宋" w:hAnsi="仿宋" w:eastAsia="仿宋" w:cs="仿宋"/>
          <w:i w:val="0"/>
          <w:iCs w:val="0"/>
          <w:caps w:val="0"/>
          <w:color w:val="333333"/>
          <w:spacing w:val="0"/>
          <w:kern w:val="0"/>
          <w:sz w:val="31"/>
          <w:szCs w:val="31"/>
          <w:shd w:val="clear" w:fill="FFFFFF"/>
          <w:lang w:val="en-US" w:eastAsia="zh-CN" w:bidi="ar"/>
        </w:rPr>
        <w:t>（一）</w:t>
      </w:r>
      <w:r>
        <w:rPr>
          <w:rFonts w:hint="eastAsia" w:ascii="仿宋" w:hAnsi="仿宋" w:eastAsia="仿宋" w:cs="仿宋"/>
          <w:b/>
          <w:bCs/>
          <w:i w:val="0"/>
          <w:iCs w:val="0"/>
          <w:caps w:val="0"/>
          <w:color w:val="333333"/>
          <w:spacing w:val="0"/>
          <w:kern w:val="0"/>
          <w:sz w:val="31"/>
          <w:szCs w:val="31"/>
          <w:shd w:val="clear" w:fill="FFFFFF"/>
          <w:lang w:val="en-US" w:eastAsia="zh-CN" w:bidi="ar"/>
        </w:rPr>
        <w:t>预算系统基础数据填报时间截止至2022年8月10日</w:t>
      </w:r>
      <w:r>
        <w:rPr>
          <w:rFonts w:hint="eastAsia" w:ascii="仿宋" w:hAnsi="仿宋" w:eastAsia="仿宋" w:cs="仿宋"/>
          <w:b/>
          <w:bCs/>
          <w:i w:val="0"/>
          <w:iCs w:val="0"/>
          <w:caps w:val="0"/>
          <w:color w:val="333333"/>
          <w:spacing w:val="0"/>
          <w:sz w:val="30"/>
          <w:szCs w:val="30"/>
        </w:rPr>
        <w:t>，</w:t>
      </w:r>
      <w:r>
        <w:rPr>
          <w:rFonts w:hint="eastAsia" w:ascii="仿宋" w:hAnsi="仿宋" w:eastAsia="仿宋" w:cs="仿宋"/>
          <w:b/>
          <w:bCs/>
          <w:i w:val="0"/>
          <w:iCs w:val="0"/>
          <w:caps w:val="0"/>
          <w:color w:val="333333"/>
          <w:spacing w:val="0"/>
          <w:sz w:val="30"/>
          <w:szCs w:val="30"/>
          <w:lang w:val="en-US" w:eastAsia="zh-CN"/>
        </w:rPr>
        <w:t>并</w:t>
      </w:r>
      <w:r>
        <w:rPr>
          <w:rFonts w:hint="eastAsia" w:ascii="仿宋" w:hAnsi="仿宋" w:eastAsia="仿宋" w:cs="仿宋"/>
          <w:b/>
          <w:bCs/>
          <w:i w:val="0"/>
          <w:iCs w:val="0"/>
          <w:caps w:val="0"/>
          <w:color w:val="333333"/>
          <w:spacing w:val="0"/>
          <w:sz w:val="30"/>
          <w:szCs w:val="30"/>
        </w:rPr>
        <w:t>将相关预算</w:t>
      </w:r>
      <w:r>
        <w:rPr>
          <w:rFonts w:hint="eastAsia" w:ascii="仿宋" w:hAnsi="仿宋" w:eastAsia="仿宋" w:cs="仿宋"/>
          <w:b/>
          <w:bCs/>
          <w:i w:val="0"/>
          <w:iCs w:val="0"/>
          <w:caps w:val="0"/>
          <w:color w:val="333333"/>
          <w:spacing w:val="0"/>
          <w:sz w:val="30"/>
          <w:szCs w:val="30"/>
          <w:lang w:val="en-US" w:eastAsia="zh-CN"/>
        </w:rPr>
        <w:t>申报汇总表的纸质</w:t>
      </w:r>
      <w:r>
        <w:rPr>
          <w:rFonts w:hint="eastAsia" w:ascii="仿宋" w:hAnsi="仿宋" w:eastAsia="仿宋" w:cs="仿宋"/>
          <w:b/>
          <w:bCs/>
          <w:i w:val="0"/>
          <w:iCs w:val="0"/>
          <w:caps w:val="0"/>
          <w:color w:val="333333"/>
          <w:spacing w:val="0"/>
          <w:sz w:val="30"/>
          <w:szCs w:val="30"/>
        </w:rPr>
        <w:t>表格</w:t>
      </w:r>
      <w:r>
        <w:rPr>
          <w:rFonts w:hint="eastAsia" w:ascii="仿宋" w:hAnsi="仿宋" w:eastAsia="仿宋" w:cs="仿宋"/>
          <w:b/>
          <w:bCs/>
          <w:i w:val="0"/>
          <w:iCs w:val="0"/>
          <w:caps w:val="0"/>
          <w:color w:val="333333"/>
          <w:spacing w:val="0"/>
          <w:sz w:val="30"/>
          <w:szCs w:val="30"/>
          <w:lang w:eastAsia="zh-CN"/>
        </w:rPr>
        <w:t>（</w:t>
      </w:r>
      <w:r>
        <w:rPr>
          <w:rFonts w:hint="eastAsia" w:ascii="仿宋" w:hAnsi="仿宋" w:eastAsia="仿宋" w:cs="仿宋"/>
          <w:b/>
          <w:bCs/>
          <w:i w:val="0"/>
          <w:iCs w:val="0"/>
          <w:caps w:val="0"/>
          <w:color w:val="333333"/>
          <w:spacing w:val="0"/>
          <w:sz w:val="30"/>
          <w:szCs w:val="30"/>
          <w:lang w:val="en-US" w:eastAsia="zh-CN"/>
        </w:rPr>
        <w:t>经领导签审）</w:t>
      </w:r>
      <w:r>
        <w:rPr>
          <w:rFonts w:hint="eastAsia" w:ascii="仿宋" w:hAnsi="仿宋" w:eastAsia="仿宋" w:cs="仿宋"/>
          <w:b/>
          <w:bCs/>
          <w:i w:val="0"/>
          <w:iCs w:val="0"/>
          <w:caps w:val="0"/>
          <w:color w:val="333333"/>
          <w:spacing w:val="0"/>
          <w:sz w:val="30"/>
          <w:szCs w:val="30"/>
        </w:rPr>
        <w:t>报财务处</w:t>
      </w:r>
      <w:r>
        <w:rPr>
          <w:rFonts w:hint="eastAsia" w:ascii="仿宋" w:hAnsi="仿宋" w:eastAsia="仿宋" w:cs="仿宋"/>
          <w:b/>
          <w:bCs/>
          <w:i w:val="0"/>
          <w:iCs w:val="0"/>
          <w:caps w:val="0"/>
          <w:color w:val="333333"/>
          <w:spacing w:val="0"/>
          <w:sz w:val="30"/>
          <w:szCs w:val="30"/>
          <w:lang w:val="en-US" w:eastAsia="zh-CN"/>
        </w:rPr>
        <w:t>预算</w:t>
      </w:r>
      <w:r>
        <w:rPr>
          <w:rFonts w:hint="eastAsia" w:ascii="仿宋" w:hAnsi="仿宋" w:eastAsia="仿宋" w:cs="仿宋"/>
          <w:b/>
          <w:bCs/>
          <w:i w:val="0"/>
          <w:iCs w:val="0"/>
          <w:caps w:val="0"/>
          <w:color w:val="333333"/>
          <w:spacing w:val="0"/>
          <w:sz w:val="30"/>
          <w:szCs w:val="30"/>
        </w:rPr>
        <w:t>科。</w:t>
      </w:r>
      <w:r>
        <w:rPr>
          <w:rFonts w:hint="eastAsia" w:ascii="仿宋" w:hAnsi="仿宋" w:eastAsia="仿宋" w:cs="仿宋"/>
          <w:b/>
          <w:bCs/>
          <w:i w:val="0"/>
          <w:iCs w:val="0"/>
          <w:caps w:val="0"/>
          <w:color w:val="333333"/>
          <w:spacing w:val="0"/>
          <w:sz w:val="30"/>
          <w:szCs w:val="30"/>
          <w:lang w:eastAsia="zh-CN"/>
        </w:rPr>
        <w:t>（</w:t>
      </w:r>
      <w:r>
        <w:rPr>
          <w:rFonts w:hint="eastAsia" w:ascii="仿宋" w:hAnsi="仿宋" w:eastAsia="仿宋" w:cs="仿宋"/>
          <w:b/>
          <w:bCs/>
          <w:i w:val="0"/>
          <w:iCs w:val="0"/>
          <w:caps w:val="0"/>
          <w:color w:val="333333"/>
          <w:spacing w:val="0"/>
          <w:sz w:val="30"/>
          <w:szCs w:val="30"/>
          <w:lang w:val="en-US" w:eastAsia="zh-CN"/>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rPr>
          <w:rFonts w:hint="eastAsia" w:ascii="仿宋" w:hAnsi="仿宋" w:eastAsia="仿宋" w:cs="仿宋"/>
          <w:b/>
          <w:bCs/>
          <w:i w:val="0"/>
          <w:iCs w:val="0"/>
          <w:caps w:val="0"/>
          <w:color w:val="333333"/>
          <w:spacing w:val="0"/>
          <w:sz w:val="30"/>
          <w:szCs w:val="30"/>
        </w:rPr>
      </w:pPr>
      <w:r>
        <w:rPr>
          <w:rFonts w:hint="eastAsia" w:ascii="仿宋" w:hAnsi="仿宋" w:eastAsia="仿宋" w:cs="仿宋"/>
          <w:b/>
          <w:bCs/>
          <w:i w:val="0"/>
          <w:iCs w:val="0"/>
          <w:caps w:val="0"/>
          <w:color w:val="333333"/>
          <w:spacing w:val="0"/>
          <w:sz w:val="30"/>
          <w:szCs w:val="30"/>
          <w:lang w:eastAsia="zh-CN"/>
        </w:rPr>
        <w:t>（</w:t>
      </w:r>
      <w:r>
        <w:rPr>
          <w:rFonts w:hint="eastAsia" w:ascii="仿宋" w:hAnsi="仿宋" w:eastAsia="仿宋" w:cs="仿宋"/>
          <w:b/>
          <w:bCs/>
          <w:i w:val="0"/>
          <w:iCs w:val="0"/>
          <w:caps w:val="0"/>
          <w:color w:val="333333"/>
          <w:spacing w:val="0"/>
          <w:sz w:val="30"/>
          <w:szCs w:val="30"/>
          <w:lang w:val="en-US" w:eastAsia="zh-CN"/>
        </w:rPr>
        <w:t>二）8月30日前</w:t>
      </w:r>
      <w:r>
        <w:rPr>
          <w:rFonts w:hint="eastAsia" w:ascii="仿宋" w:hAnsi="仿宋" w:eastAsia="仿宋" w:cs="仿宋"/>
          <w:b/>
          <w:bCs/>
          <w:i w:val="0"/>
          <w:iCs w:val="0"/>
          <w:caps w:val="0"/>
          <w:color w:val="333333"/>
          <w:spacing w:val="0"/>
          <w:sz w:val="30"/>
          <w:szCs w:val="30"/>
        </w:rPr>
        <w:t>财务处</w:t>
      </w:r>
      <w:r>
        <w:rPr>
          <w:rFonts w:hint="eastAsia" w:ascii="仿宋" w:hAnsi="仿宋" w:eastAsia="仿宋" w:cs="仿宋"/>
          <w:b/>
          <w:bCs/>
          <w:i w:val="0"/>
          <w:iCs w:val="0"/>
          <w:caps w:val="0"/>
          <w:color w:val="333333"/>
          <w:spacing w:val="0"/>
          <w:sz w:val="30"/>
          <w:szCs w:val="30"/>
          <w:lang w:val="en-US" w:eastAsia="zh-CN"/>
        </w:rPr>
        <w:t>及相关职能部门对申报项目及采购指标进行整理汇总</w:t>
      </w:r>
      <w:r>
        <w:rPr>
          <w:rFonts w:hint="eastAsia" w:ascii="仿宋" w:hAnsi="仿宋" w:eastAsia="仿宋" w:cs="仿宋"/>
          <w:b/>
          <w:bCs/>
          <w:i w:val="0"/>
          <w:iCs w:val="0"/>
          <w:caps w:val="0"/>
          <w:color w:val="333333"/>
          <w:spacing w:val="0"/>
          <w:sz w:val="30"/>
          <w:szCs w:val="30"/>
        </w:rPr>
        <w:t>形成预算</w:t>
      </w:r>
      <w:r>
        <w:rPr>
          <w:rFonts w:hint="eastAsia" w:ascii="仿宋" w:hAnsi="仿宋" w:eastAsia="仿宋" w:cs="仿宋"/>
          <w:b/>
          <w:bCs/>
          <w:i w:val="0"/>
          <w:iCs w:val="0"/>
          <w:caps w:val="0"/>
          <w:color w:val="333333"/>
          <w:spacing w:val="0"/>
          <w:sz w:val="30"/>
          <w:szCs w:val="30"/>
          <w:lang w:val="en-US" w:eastAsia="zh-CN"/>
        </w:rPr>
        <w:t>草案</w:t>
      </w:r>
      <w:r>
        <w:rPr>
          <w:rFonts w:hint="eastAsia" w:ascii="仿宋" w:hAnsi="仿宋" w:eastAsia="仿宋" w:cs="仿宋"/>
          <w:b/>
          <w:bCs/>
          <w:i w:val="0"/>
          <w:iCs w:val="0"/>
          <w:caps w:val="0"/>
          <w:color w:val="333333"/>
          <w:spacing w:val="0"/>
          <w:sz w:val="30"/>
          <w:szCs w:val="30"/>
        </w:rPr>
        <w:t>，报</w:t>
      </w:r>
      <w:r>
        <w:rPr>
          <w:rFonts w:hint="eastAsia" w:ascii="仿宋" w:hAnsi="仿宋" w:eastAsia="仿宋" w:cs="仿宋"/>
          <w:b/>
          <w:bCs/>
          <w:i w:val="0"/>
          <w:iCs w:val="0"/>
          <w:caps w:val="0"/>
          <w:color w:val="333333"/>
          <w:spacing w:val="0"/>
          <w:sz w:val="30"/>
          <w:szCs w:val="30"/>
          <w:lang w:val="en-US" w:eastAsia="zh-CN"/>
        </w:rPr>
        <w:t>学院财经工作领导小组</w:t>
      </w:r>
      <w:r>
        <w:rPr>
          <w:rFonts w:hint="eastAsia" w:ascii="仿宋" w:hAnsi="仿宋" w:eastAsia="仿宋" w:cs="仿宋"/>
          <w:b/>
          <w:bCs/>
          <w:i w:val="0"/>
          <w:iCs w:val="0"/>
          <w:caps w:val="0"/>
          <w:color w:val="333333"/>
          <w:spacing w:val="0"/>
          <w:sz w:val="30"/>
          <w:szCs w:val="30"/>
        </w:rPr>
        <w:t>审核、提交</w:t>
      </w:r>
      <w:r>
        <w:rPr>
          <w:rFonts w:hint="eastAsia" w:ascii="仿宋" w:hAnsi="仿宋" w:eastAsia="仿宋" w:cs="仿宋"/>
          <w:b/>
          <w:bCs/>
          <w:i w:val="0"/>
          <w:iCs w:val="0"/>
          <w:caps w:val="0"/>
          <w:color w:val="333333"/>
          <w:spacing w:val="0"/>
          <w:sz w:val="30"/>
          <w:szCs w:val="30"/>
          <w:lang w:val="en-US" w:eastAsia="zh-CN"/>
        </w:rPr>
        <w:t>院</w:t>
      </w:r>
      <w:r>
        <w:rPr>
          <w:rFonts w:hint="eastAsia" w:ascii="仿宋" w:hAnsi="仿宋" w:eastAsia="仿宋" w:cs="仿宋"/>
          <w:b/>
          <w:bCs/>
          <w:i w:val="0"/>
          <w:iCs w:val="0"/>
          <w:caps w:val="0"/>
          <w:color w:val="333333"/>
          <w:spacing w:val="0"/>
          <w:sz w:val="30"/>
          <w:szCs w:val="30"/>
        </w:rPr>
        <w:t>长办公会审议、党委常委会审定后</w:t>
      </w:r>
      <w:r>
        <w:rPr>
          <w:rFonts w:hint="eastAsia" w:ascii="仿宋" w:hAnsi="仿宋" w:eastAsia="仿宋" w:cs="仿宋"/>
          <w:b/>
          <w:bCs/>
          <w:i w:val="0"/>
          <w:iCs w:val="0"/>
          <w:caps w:val="0"/>
          <w:color w:val="333333"/>
          <w:spacing w:val="0"/>
          <w:sz w:val="30"/>
          <w:szCs w:val="30"/>
          <w:lang w:val="en-US" w:eastAsia="zh-CN"/>
        </w:rPr>
        <w:t>报上级部门（一上）</w:t>
      </w:r>
      <w:r>
        <w:rPr>
          <w:rFonts w:hint="eastAsia" w:ascii="仿宋" w:hAnsi="仿宋" w:eastAsia="仿宋" w:cs="仿宋"/>
          <w:b/>
          <w:bCs/>
          <w:i w:val="0"/>
          <w:iCs w:val="0"/>
          <w:caps w:val="0"/>
          <w:color w:val="333333"/>
          <w:spacing w:val="0"/>
          <w:sz w:val="30"/>
          <w:szCs w:val="3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rPr>
          <w:rFonts w:hint="eastAsia" w:ascii="仿宋" w:hAnsi="仿宋" w:eastAsia="仿宋" w:cs="仿宋"/>
          <w:i w:val="0"/>
          <w:iCs w:val="0"/>
          <w:caps w:val="0"/>
          <w:color w:val="333333"/>
          <w:spacing w:val="0"/>
          <w:sz w:val="30"/>
          <w:szCs w:val="30"/>
          <w:lang w:val="en-US" w:eastAsia="zh-CN"/>
        </w:rPr>
      </w:pPr>
      <w:r>
        <w:rPr>
          <w:rFonts w:hint="eastAsia" w:ascii="仿宋" w:hAnsi="仿宋" w:eastAsia="仿宋" w:cs="仿宋"/>
          <w:i w:val="0"/>
          <w:iCs w:val="0"/>
          <w:caps w:val="0"/>
          <w:color w:val="333333"/>
          <w:spacing w:val="0"/>
          <w:sz w:val="30"/>
          <w:szCs w:val="30"/>
          <w:lang w:eastAsia="zh-CN"/>
        </w:rPr>
        <w:t>（</w:t>
      </w:r>
      <w:r>
        <w:rPr>
          <w:rFonts w:hint="eastAsia" w:ascii="仿宋" w:hAnsi="仿宋" w:eastAsia="仿宋" w:cs="仿宋"/>
          <w:i w:val="0"/>
          <w:iCs w:val="0"/>
          <w:caps w:val="0"/>
          <w:color w:val="333333"/>
          <w:spacing w:val="0"/>
          <w:sz w:val="30"/>
          <w:szCs w:val="30"/>
          <w:lang w:val="en-US" w:eastAsia="zh-CN"/>
        </w:rPr>
        <w:t>三）8-11月各归口职能部门根据业务分工对各单位申报的项目进行统筹规划、严格论证，完成各类项目库相关评审工作，完成项目审核、论证、整合、排序，形成项目库。项目评审论证应重点把握各项目立项的必要性、可行性、经济合理性、绩效性，确保项目安排方向正确，经济可行，具备实施条件，能够按时完成，评审完成后在预算申报系统上进行审核通过。对申报的项目应按照按轻重缓急排序以便申报2023-2025年项目滚动计划。</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70" w:lineRule="atLeast"/>
        <w:ind w:right="0" w:rightChars="0" w:firstLine="620" w:firstLineChars="200"/>
        <w:jc w:val="left"/>
        <w:rPr>
          <w:rFonts w:hint="default"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（注：以上申报时间节点为预估时间，待教育厅正式通知后会根据实际情况进行调整。）</w:t>
      </w:r>
    </w:p>
    <w:p>
      <w:pPr>
        <w:pStyle w:val="2"/>
        <w:keepNext w:val="0"/>
        <w:keepLines w:val="0"/>
        <w:widowControl/>
        <w:suppressLineNumbers w:val="0"/>
        <w:spacing w:before="0" w:beforeAutospacing="1" w:after="0" w:afterAutospacing="0" w:line="360" w:lineRule="auto"/>
        <w:ind w:left="0" w:right="0" w:firstLine="562"/>
        <w:jc w:val="left"/>
        <w:rPr>
          <w:rFonts w:hint="eastAsia" w:ascii="仿宋" w:hAnsi="仿宋" w:eastAsia="仿宋" w:cs="仿宋"/>
          <w:i w:val="0"/>
          <w:iCs w:val="0"/>
          <w:caps w:val="0"/>
          <w:color w:val="333333"/>
          <w:spacing w:val="0"/>
          <w:kern w:val="0"/>
          <w:sz w:val="31"/>
          <w:szCs w:val="31"/>
          <w:shd w:val="clear" w:fill="FFFFFF"/>
          <w:lang w:val="en-US" w:eastAsia="zh-CN" w:bidi="ar"/>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70" w:lineRule="atLeast"/>
        <w:ind w:right="0" w:rightChars="0" w:firstLine="620" w:firstLineChars="200"/>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附件：1.编制政府采购预算的注意事项</w:t>
      </w:r>
    </w:p>
    <w:p>
      <w:pPr>
        <w:keepNext w:val="0"/>
        <w:keepLines w:val="0"/>
        <w:widowControl/>
        <w:numPr>
          <w:ilvl w:val="0"/>
          <w:numId w:val="2"/>
        </w:numPr>
        <w:suppressLineNumbers w:val="0"/>
        <w:ind w:left="1085" w:leftChars="0" w:firstLine="0" w:firstLineChars="0"/>
        <w:jc w:val="left"/>
        <w:rPr>
          <w:rFonts w:hint="default" w:ascii="仿宋_GB2312" w:hAnsi="宋体" w:eastAsia="仿宋_GB2312" w:cs="仿宋_GB2312"/>
          <w:color w:val="000000"/>
          <w:kern w:val="0"/>
          <w:sz w:val="31"/>
          <w:szCs w:val="31"/>
          <w:lang w:val="en-US" w:eastAsia="zh-CN" w:bidi="ar"/>
        </w:rPr>
      </w:pPr>
      <w:r>
        <w:rPr>
          <w:rFonts w:ascii="仿宋_GB2312" w:hAnsi="宋体" w:eastAsia="仿宋_GB2312" w:cs="仿宋_GB2312"/>
          <w:color w:val="000000"/>
          <w:kern w:val="0"/>
          <w:sz w:val="31"/>
          <w:szCs w:val="31"/>
          <w:lang w:val="en-US" w:eastAsia="zh-CN" w:bidi="ar"/>
        </w:rPr>
        <w:t>《福建省政府</w:t>
      </w:r>
      <w:r>
        <w:rPr>
          <w:rFonts w:hint="default" w:ascii="仿宋_GB2312" w:hAnsi="宋体" w:eastAsia="仿宋_GB2312" w:cs="仿宋_GB2312"/>
          <w:color w:val="000000"/>
          <w:kern w:val="0"/>
          <w:sz w:val="31"/>
          <w:szCs w:val="31"/>
          <w:lang w:val="en-US" w:eastAsia="zh-CN" w:bidi="ar"/>
        </w:rPr>
        <w:t>集中采购目录及限额标准》</w:t>
      </w:r>
    </w:p>
    <w:p>
      <w:pPr>
        <w:keepNext w:val="0"/>
        <w:keepLines w:val="0"/>
        <w:widowControl/>
        <w:numPr>
          <w:ilvl w:val="0"/>
          <w:numId w:val="2"/>
        </w:numPr>
        <w:suppressLineNumbers w:val="0"/>
        <w:ind w:left="1085" w:leftChars="0" w:firstLine="0" w:firstLineChars="0"/>
        <w:jc w:val="left"/>
        <w:rPr>
          <w:rFonts w:hint="default"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2023年度项目经费专项支出(项目库）预算申报汇总表（分日常经费和专项经费）</w:t>
      </w:r>
    </w:p>
    <w:p>
      <w:pPr>
        <w:pStyle w:val="2"/>
        <w:keepNext w:val="0"/>
        <w:keepLines w:val="0"/>
        <w:widowControl/>
        <w:suppressLineNumbers w:val="0"/>
        <w:spacing w:before="0" w:beforeAutospacing="1" w:after="0" w:afterAutospacing="0" w:line="360" w:lineRule="auto"/>
        <w:ind w:right="0"/>
        <w:jc w:val="left"/>
        <w:rPr>
          <w:rFonts w:hint="eastAsia" w:ascii="仿宋" w:hAnsi="仿宋" w:eastAsia="仿宋" w:cs="仿宋"/>
          <w:i w:val="0"/>
          <w:iCs w:val="0"/>
          <w:caps w:val="0"/>
          <w:color w:val="333333"/>
          <w:spacing w:val="0"/>
          <w:kern w:val="0"/>
          <w:sz w:val="31"/>
          <w:szCs w:val="31"/>
          <w:shd w:val="clear" w:fill="FFFFFF"/>
          <w:lang w:val="en-US" w:eastAsia="zh-CN" w:bidi="ar"/>
        </w:rPr>
      </w:pPr>
    </w:p>
    <w:p>
      <w:pPr>
        <w:pStyle w:val="2"/>
        <w:keepNext w:val="0"/>
        <w:keepLines w:val="0"/>
        <w:widowControl/>
        <w:suppressLineNumbers w:val="0"/>
        <w:spacing w:before="0" w:beforeAutospacing="1" w:after="0" w:afterAutospacing="0" w:line="360" w:lineRule="auto"/>
        <w:ind w:left="0" w:right="0" w:firstLine="4237" w:firstLineChars="1367"/>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福建船政交职业学院财务处</w:t>
      </w:r>
    </w:p>
    <w:p>
      <w:pPr>
        <w:pStyle w:val="2"/>
        <w:keepNext w:val="0"/>
        <w:keepLines w:val="0"/>
        <w:widowControl/>
        <w:suppressLineNumbers w:val="0"/>
        <w:spacing w:before="0" w:beforeAutospacing="1" w:after="0" w:afterAutospacing="0" w:line="360" w:lineRule="auto"/>
        <w:ind w:left="0" w:right="0" w:firstLine="5477" w:firstLineChars="1767"/>
        <w:jc w:val="left"/>
        <w:rPr>
          <w:rFonts w:hint="eastAsia" w:ascii="仿宋" w:hAnsi="仿宋" w:eastAsia="仿宋" w:cs="仿宋"/>
          <w:i w:val="0"/>
          <w:iCs w:val="0"/>
          <w:caps w:val="0"/>
          <w:color w:val="333333"/>
          <w:spacing w:val="0"/>
          <w:kern w:val="0"/>
          <w:sz w:val="31"/>
          <w:szCs w:val="31"/>
          <w:shd w:val="clear" w:fill="FFFFFF"/>
          <w:lang w:val="en-US" w:eastAsia="zh-CN" w:bidi="ar"/>
        </w:rPr>
      </w:pPr>
      <w:r>
        <w:rPr>
          <w:rFonts w:hint="eastAsia" w:ascii="仿宋" w:hAnsi="仿宋" w:eastAsia="仿宋" w:cs="仿宋"/>
          <w:i w:val="0"/>
          <w:iCs w:val="0"/>
          <w:caps w:val="0"/>
          <w:color w:val="333333"/>
          <w:spacing w:val="0"/>
          <w:kern w:val="0"/>
          <w:sz w:val="31"/>
          <w:szCs w:val="31"/>
          <w:shd w:val="clear" w:fill="FFFFFF"/>
          <w:lang w:val="en-US" w:eastAsia="zh-CN" w:bidi="ar"/>
        </w:rPr>
        <w:t>2022.06.21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97F0FE"/>
    <w:multiLevelType w:val="singleLevel"/>
    <w:tmpl w:val="B697F0FE"/>
    <w:lvl w:ilvl="0" w:tentative="0">
      <w:start w:val="1"/>
      <w:numFmt w:val="chineseCounting"/>
      <w:suff w:val="nothing"/>
      <w:lvlText w:val="（%1）"/>
      <w:lvlJc w:val="left"/>
      <w:rPr>
        <w:rFonts w:hint="eastAsia"/>
      </w:rPr>
    </w:lvl>
  </w:abstractNum>
  <w:abstractNum w:abstractNumId="1">
    <w:nsid w:val="07ED5D36"/>
    <w:multiLevelType w:val="singleLevel"/>
    <w:tmpl w:val="07ED5D36"/>
    <w:lvl w:ilvl="0" w:tentative="0">
      <w:start w:val="2"/>
      <w:numFmt w:val="decimal"/>
      <w:lvlText w:val="%1."/>
      <w:lvlJc w:val="left"/>
      <w:pPr>
        <w:tabs>
          <w:tab w:val="left" w:pos="312"/>
        </w:tabs>
        <w:ind w:left="1085"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4YzcxM2I1YmE4ZmZjNjc3OGJkODNhYzFlMWQ2MzAifQ=="/>
  </w:docVars>
  <w:rsids>
    <w:rsidRoot w:val="256758C2"/>
    <w:rsid w:val="02313F99"/>
    <w:rsid w:val="03024799"/>
    <w:rsid w:val="0B0C2181"/>
    <w:rsid w:val="0CB80E2E"/>
    <w:rsid w:val="129B16E6"/>
    <w:rsid w:val="14731FCD"/>
    <w:rsid w:val="170C5487"/>
    <w:rsid w:val="1FBB31B1"/>
    <w:rsid w:val="256758C2"/>
    <w:rsid w:val="282E04AF"/>
    <w:rsid w:val="28F25DAD"/>
    <w:rsid w:val="2DAE43A0"/>
    <w:rsid w:val="2EB01C1E"/>
    <w:rsid w:val="323F38B4"/>
    <w:rsid w:val="32F22575"/>
    <w:rsid w:val="38A83E31"/>
    <w:rsid w:val="486C68C6"/>
    <w:rsid w:val="4E8D435B"/>
    <w:rsid w:val="5F69359F"/>
    <w:rsid w:val="5F966904"/>
    <w:rsid w:val="62033B6D"/>
    <w:rsid w:val="6283625B"/>
    <w:rsid w:val="62EF27F0"/>
    <w:rsid w:val="64D13989"/>
    <w:rsid w:val="6A071618"/>
    <w:rsid w:val="705027AD"/>
    <w:rsid w:val="7CD67D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FollowedHyperlink"/>
    <w:basedOn w:val="5"/>
    <w:qFormat/>
    <w:uiPriority w:val="0"/>
    <w:rPr>
      <w:color w:val="262626"/>
      <w:sz w:val="18"/>
      <w:szCs w:val="18"/>
      <w:u w:val="none"/>
    </w:rPr>
  </w:style>
  <w:style w:type="character" w:styleId="8">
    <w:name w:val="Hyperlink"/>
    <w:basedOn w:val="5"/>
    <w:qFormat/>
    <w:uiPriority w:val="0"/>
    <w:rPr>
      <w:color w:val="262626"/>
      <w:sz w:val="18"/>
      <w:szCs w:val="18"/>
      <w:u w:val="none"/>
    </w:rPr>
  </w:style>
  <w:style w:type="character" w:customStyle="1" w:styleId="9">
    <w:name w:val="item-name"/>
    <w:basedOn w:val="5"/>
    <w:uiPriority w:val="0"/>
    <w:rPr>
      <w:bdr w:val="none" w:color="auto" w:sz="0" w:space="0"/>
    </w:rPr>
  </w:style>
  <w:style w:type="character" w:customStyle="1" w:styleId="10">
    <w:name w:val="item-name1"/>
    <w:basedOn w:val="5"/>
    <w:uiPriority w:val="0"/>
    <w:rPr>
      <w:bdr w:val="none" w:color="auto" w:sz="0" w:space="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1701</Words>
  <Characters>1758</Characters>
  <Lines>0</Lines>
  <Paragraphs>0</Paragraphs>
  <TotalTime>47</TotalTime>
  <ScaleCrop>false</ScaleCrop>
  <LinksUpToDate>false</LinksUpToDate>
  <CharactersWithSpaces>1762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2022-01-17T05:39:00Z</dcterms:created>
  <dc:creator>龙女</dc:creator>
  <cp:lastModifiedBy>龙女</cp:lastModifiedBy>
  <dcterms:modified xsi:type="dcterms:W3CDTF">2022-06-21T10:49:39Z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9B9CFA1571F944B68F3F953210A208E5</vt:lpwstr>
  </property>
</Properties>
</file>